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87BBE">
      <w:pPr>
        <w:ind w:firstLine="641"/>
        <w:jc w:val="center"/>
        <w:rPr>
          <w:rFonts w:hint="eastAsia" w:ascii="楷体" w:hAnsi="楷体" w:eastAsia="楷体" w:cs="楷体"/>
          <w:color w:val="auto"/>
          <w:sz w:val="44"/>
          <w:szCs w:val="44"/>
          <w:lang w:val="en-US" w:eastAsia="zh-CN"/>
        </w:rPr>
      </w:pPr>
      <w:r>
        <w:rPr>
          <w:rFonts w:hint="eastAsia" w:ascii="楷体" w:hAnsi="楷体" w:eastAsia="楷体" w:cs="楷体"/>
          <w:color w:val="auto"/>
          <w:sz w:val="44"/>
          <w:szCs w:val="44"/>
          <w:lang w:val="en-US" w:eastAsia="zh-CN"/>
        </w:rPr>
        <w:t>项目中介采购需求</w:t>
      </w:r>
    </w:p>
    <w:p w14:paraId="4520FEDD">
      <w:pPr>
        <w:ind w:firstLine="641"/>
        <w:rPr>
          <w:rFonts w:hint="eastAsia" w:ascii="楷体" w:hAnsi="楷体" w:eastAsia="楷体" w:cs="楷体"/>
          <w:b w:val="0"/>
          <w:i w:val="0"/>
          <w:caps w:val="0"/>
          <w:color w:val="auto"/>
          <w:spacing w:val="0"/>
          <w:kern w:val="0"/>
          <w:sz w:val="32"/>
          <w:szCs w:val="32"/>
          <w:lang w:val="en-US" w:eastAsia="zh-CN"/>
        </w:rPr>
      </w:pPr>
      <w:r>
        <w:rPr>
          <w:rFonts w:hint="eastAsia" w:ascii="楷体" w:hAnsi="楷体" w:eastAsia="楷体" w:cs="楷体"/>
          <w:b w:val="0"/>
          <w:i w:val="0"/>
          <w:caps w:val="0"/>
          <w:color w:val="auto"/>
          <w:spacing w:val="0"/>
          <w:kern w:val="0"/>
          <w:sz w:val="32"/>
          <w:szCs w:val="32"/>
          <w:lang w:val="en-US" w:eastAsia="zh-CN"/>
        </w:rPr>
        <w:t>1.</w:t>
      </w:r>
      <w:r>
        <w:rPr>
          <w:rFonts w:hint="eastAsia" w:ascii="仿宋_GB2312" w:hAnsi="仿宋_GB2312" w:eastAsia="仿宋_GB2312" w:cs="仿宋_GB2312"/>
          <w:color w:val="auto"/>
          <w:sz w:val="32"/>
          <w:szCs w:val="32"/>
          <w:lang w:val="en-US" w:eastAsia="zh-CN"/>
        </w:rPr>
        <w:t>项目基本情况</w:t>
      </w:r>
    </w:p>
    <w:p w14:paraId="1E5DABC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项目名称：</w:t>
      </w:r>
      <w:r>
        <w:rPr>
          <w:rFonts w:hint="eastAsia" w:ascii="仿宋_GB2312" w:hAnsi="仿宋_GB2312" w:eastAsia="仿宋_GB2312" w:cs="仿宋_GB2312"/>
          <w:color w:val="auto"/>
          <w:sz w:val="32"/>
          <w:szCs w:val="32"/>
          <w:lang w:val="en-US" w:eastAsia="zh-CN"/>
        </w:rPr>
        <w:t>新蔡县2016年义务教育提升项目第二标段决算情况审计</w:t>
      </w:r>
    </w:p>
    <w:p w14:paraId="75B8BAC4">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项目内容: </w:t>
      </w:r>
      <w:r>
        <w:rPr>
          <w:rFonts w:hint="eastAsia" w:ascii="仿宋_GB2312" w:hAnsi="仿宋_GB2312" w:eastAsia="仿宋_GB2312" w:cs="仿宋_GB2312"/>
          <w:color w:val="auto"/>
          <w:sz w:val="32"/>
          <w:szCs w:val="32"/>
          <w:lang w:val="en-US" w:eastAsia="zh-CN"/>
        </w:rPr>
        <w:t>决算情况审计</w:t>
      </w:r>
    </w:p>
    <w:p w14:paraId="08130AF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审计时限: 45</w:t>
      </w:r>
      <w:r>
        <w:rPr>
          <w:rFonts w:hint="eastAsia" w:ascii="仿宋_GB2312" w:hAnsi="仿宋_GB2312" w:eastAsia="仿宋_GB2312" w:cs="仿宋_GB2312"/>
          <w:color w:val="auto"/>
          <w:sz w:val="32"/>
          <w:szCs w:val="32"/>
          <w:lang w:val="en-US" w:eastAsia="zh-CN"/>
        </w:rPr>
        <w:t>天</w:t>
      </w:r>
    </w:p>
    <w:p w14:paraId="4BF03146">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预算金额: </w:t>
      </w:r>
      <w:r>
        <w:rPr>
          <w:rFonts w:hint="eastAsia" w:ascii="仿宋_GB2312" w:hAnsi="仿宋_GB2312" w:eastAsia="仿宋_GB2312" w:cs="仿宋_GB2312"/>
          <w:color w:val="auto"/>
          <w:sz w:val="32"/>
          <w:szCs w:val="32"/>
          <w:lang w:val="en-US" w:eastAsia="zh-CN"/>
        </w:rPr>
        <w:t xml:space="preserve">16000元 </w:t>
      </w:r>
    </w:p>
    <w:p w14:paraId="34845B6A">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资金来源: </w:t>
      </w:r>
      <w:r>
        <w:rPr>
          <w:rFonts w:hint="eastAsia" w:ascii="仿宋_GB2312" w:hAnsi="仿宋_GB2312" w:eastAsia="仿宋_GB2312" w:cs="仿宋_GB2312"/>
          <w:b w:val="0"/>
          <w:bCs w:val="0"/>
          <w:color w:val="auto"/>
          <w:sz w:val="32"/>
          <w:szCs w:val="32"/>
          <w:lang w:val="en-US" w:eastAsia="zh-CN"/>
        </w:rPr>
        <w:t>财政资金</w:t>
      </w:r>
    </w:p>
    <w:p w14:paraId="08BD6D5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其他说明事项：</w:t>
      </w:r>
      <w:r>
        <w:rPr>
          <w:rFonts w:hint="eastAsia" w:ascii="仿宋_GB2312" w:hAnsi="仿宋_GB2312" w:eastAsia="仿宋_GB2312" w:cs="仿宋_GB2312"/>
          <w:color w:val="auto"/>
          <w:sz w:val="32"/>
          <w:szCs w:val="32"/>
          <w:lang w:val="en-US" w:eastAsia="zh-CN"/>
        </w:rPr>
        <w:t>合同包含主要工程内容：新建砖店镇周寺小学宿舍楼、周寺小学浴室；弥陀寺乡孟庄小学教学楼；佛阁寺镇中学食堂</w:t>
      </w:r>
      <w:bookmarkStart w:id="0" w:name="_GoBack"/>
      <w:bookmarkEnd w:id="0"/>
      <w:r>
        <w:rPr>
          <w:rFonts w:hint="eastAsia" w:ascii="仿宋_GB2312" w:hAnsi="仿宋_GB2312" w:eastAsia="仿宋_GB2312" w:cs="仿宋_GB2312"/>
          <w:color w:val="auto"/>
          <w:sz w:val="32"/>
          <w:szCs w:val="32"/>
          <w:lang w:val="en-US" w:eastAsia="zh-CN"/>
        </w:rPr>
        <w:t>。</w:t>
      </w:r>
    </w:p>
    <w:p w14:paraId="2F681F6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lang w:val="en-US" w:eastAsia="zh-CN"/>
        </w:rPr>
        <w:t>2.采购要求</w:t>
      </w:r>
    </w:p>
    <w:p w14:paraId="3D758F7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（1）供应商必须具有独立法人资格，能够完全承担法律责任。</w:t>
      </w:r>
    </w:p>
    <w:p w14:paraId="48E5CFE9">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    （2）供应商出具的造价咨询成果实行终身负责制，并负完全法律责任。</w:t>
      </w:r>
    </w:p>
    <w:p w14:paraId="1CADC90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lang w:val="en-US" w:eastAsia="zh-CN"/>
        </w:rPr>
        <w:t>（3）总公司与子公司（分公司）不能同时参与</w:t>
      </w:r>
      <w:r>
        <w:rPr>
          <w:rFonts w:hint="default" w:ascii="仿宋_GB2312" w:hAnsi="仿宋_GB2312" w:eastAsia="仿宋_GB2312" w:cs="仿宋_GB2312"/>
          <w:color w:val="auto"/>
          <w:sz w:val="32"/>
          <w:szCs w:val="32"/>
          <w:lang w:eastAsia="zh-CN"/>
        </w:rPr>
        <w:t>同一</w:t>
      </w:r>
      <w:r>
        <w:rPr>
          <w:rFonts w:hint="eastAsia" w:ascii="仿宋_GB2312" w:hAnsi="仿宋_GB2312" w:eastAsia="仿宋_GB2312" w:cs="仿宋_GB2312"/>
          <w:color w:val="auto"/>
          <w:sz w:val="32"/>
          <w:szCs w:val="32"/>
          <w:lang w:val="en-US" w:eastAsia="zh-CN"/>
        </w:rPr>
        <w:t>项目竞价，项目禁止转包、分包。</w:t>
      </w:r>
    </w:p>
    <w:p w14:paraId="5DCE5EA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（4）供应商需</w:t>
      </w:r>
      <w:r>
        <w:rPr>
          <w:rFonts w:hint="default" w:ascii="仿宋_GB2312" w:hAnsi="仿宋_GB2312" w:eastAsia="仿宋_GB2312" w:cs="仿宋_GB2312"/>
          <w:color w:val="auto"/>
          <w:sz w:val="32"/>
          <w:szCs w:val="32"/>
          <w:lang w:val="en" w:eastAsia="zh-CN"/>
        </w:rPr>
        <w:t>提供项目部组成人员名单</w:t>
      </w:r>
      <w:r>
        <w:rPr>
          <w:rFonts w:hint="eastAsia"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项目部组成人员专业配备合理，专业人员配备应满足项目要求</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其中拟派项目负责人须同时具备</w:t>
      </w:r>
      <w:r>
        <w:rPr>
          <w:rFonts w:hint="default" w:ascii="仿宋_GB2312" w:hAnsi="仿宋_GB2312" w:eastAsia="仿宋_GB2312" w:cs="仿宋_GB2312"/>
          <w:color w:val="auto"/>
          <w:sz w:val="32"/>
          <w:szCs w:val="32"/>
          <w:lang w:val="en" w:eastAsia="zh-CN"/>
        </w:rPr>
        <w:t>一级</w:t>
      </w:r>
      <w:r>
        <w:rPr>
          <w:rFonts w:hint="eastAsia" w:ascii="仿宋_GB2312" w:hAnsi="仿宋_GB2312" w:eastAsia="仿宋_GB2312" w:cs="仿宋_GB2312"/>
          <w:color w:val="auto"/>
          <w:sz w:val="32"/>
          <w:szCs w:val="32"/>
          <w:lang w:val="en-US" w:eastAsia="zh-CN"/>
        </w:rPr>
        <w:t>注册造价工程师证书及相应专业中级以上工程类、经济类职称证书，其他人员应具有一级造价工程师资格证书及相关从业经历。</w:t>
      </w:r>
    </w:p>
    <w:p w14:paraId="507B19F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（5）供应商需结合项目特点、难易程度及采购方需求，严格按照县审计局确定的工作时间完成审计工作，并将初步审计结果以书面报告形式提交县审计局。</w:t>
      </w:r>
    </w:p>
    <w:p w14:paraId="37D799B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（6）供应商不得有与项目审核结论公正性产生影响的直接、间接利益关系或其他利害关系。</w:t>
      </w:r>
    </w:p>
    <w:p w14:paraId="2403C21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（7）参与项目竞价的供应商已经政府采购电子商城审批进入平台，视为供应商公司经营证照、人员社保齐备，信用、违法记录合格。如有弄虚作假行为，经核实，按照相关法律法规处理。</w:t>
      </w:r>
    </w:p>
    <w:p w14:paraId="49E1121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（8）参与竞价的供应商应根据实际仔细核算项目的报价，如违背市场规律，或恶意竞标，采购人将根据政策和相关法律法规作出相应处理，并有权拒绝其报价。</w:t>
      </w:r>
    </w:p>
    <w:p w14:paraId="1A025ED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3.回避的情形</w:t>
      </w:r>
    </w:p>
    <w:p w14:paraId="7037FD7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中选中介服务机构及执业人员不得有与项目审核结论公正性产生影响的直接、间接利益关系或其他利害关系。     </w:t>
      </w:r>
    </w:p>
    <w:p w14:paraId="411AADD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4.监督管理</w:t>
      </w:r>
    </w:p>
    <w:p w14:paraId="194E640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（1）县审计局对咨询机构审计质量问题、审核超时、违反程序和泄密等，采取警告、扣减审计费、解除合同或录入黑名单等处罚，并依法追究其经济和法律责任。</w:t>
      </w:r>
    </w:p>
    <w:p w14:paraId="2FFD617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（2）对出现审计质量问题的处理。发现咨询机构出具的审计报告与县审计局</w:t>
      </w:r>
      <w:r>
        <w:rPr>
          <w:rFonts w:hint="default" w:ascii="仿宋_GB2312" w:hAnsi="仿宋_GB2312" w:eastAsia="仿宋_GB2312" w:cs="仿宋_GB2312"/>
          <w:color w:val="auto"/>
          <w:sz w:val="32"/>
          <w:szCs w:val="32"/>
          <w:lang w:val="en" w:eastAsia="zh-CN"/>
        </w:rPr>
        <w:t>抽审</w:t>
      </w:r>
      <w:r>
        <w:rPr>
          <w:rFonts w:hint="eastAsia" w:ascii="仿宋_GB2312" w:hAnsi="仿宋_GB2312" w:eastAsia="仿宋_GB2312" w:cs="仿宋_GB2312"/>
          <w:color w:val="auto"/>
          <w:sz w:val="32"/>
          <w:szCs w:val="32"/>
          <w:lang w:val="en-US" w:eastAsia="zh-CN"/>
        </w:rPr>
        <w:t>复核结果</w:t>
      </w:r>
      <w:r>
        <w:rPr>
          <w:rFonts w:hint="default" w:ascii="仿宋_GB2312" w:hAnsi="仿宋_GB2312" w:eastAsia="仿宋_GB2312" w:cs="仿宋_GB2312"/>
          <w:color w:val="auto"/>
          <w:sz w:val="32"/>
          <w:szCs w:val="32"/>
          <w:lang w:val="en" w:eastAsia="zh-CN"/>
        </w:rPr>
        <w:t>或上级部门专项审查结果</w:t>
      </w:r>
      <w:r>
        <w:rPr>
          <w:rFonts w:hint="eastAsia" w:ascii="仿宋_GB2312" w:hAnsi="仿宋_GB2312" w:eastAsia="仿宋_GB2312" w:cs="仿宋_GB2312"/>
          <w:color w:val="auto"/>
          <w:sz w:val="32"/>
          <w:szCs w:val="32"/>
          <w:lang w:val="en-US" w:eastAsia="zh-CN"/>
        </w:rPr>
        <w:t>存在差异，即：偏差率i〔偏差率i=(中介出具结果-</w:t>
      </w:r>
      <w:r>
        <w:rPr>
          <w:rFonts w:hint="eastAsia" w:ascii="仿宋_GB2312" w:hAnsi="仿宋_GB2312" w:eastAsia="仿宋_GB2312" w:cs="仿宋_GB2312"/>
          <w:color w:val="auto"/>
          <w:sz w:val="32"/>
          <w:szCs w:val="32"/>
          <w:lang w:val="en" w:eastAsia="zh-CN"/>
        </w:rPr>
        <w:t>县</w:t>
      </w:r>
      <w:r>
        <w:rPr>
          <w:rFonts w:hint="eastAsia" w:ascii="仿宋_GB2312" w:hAnsi="仿宋_GB2312" w:eastAsia="仿宋_GB2312" w:cs="仿宋_GB2312"/>
          <w:color w:val="auto"/>
          <w:sz w:val="32"/>
          <w:szCs w:val="32"/>
          <w:lang w:val="en-US" w:eastAsia="zh-CN"/>
        </w:rPr>
        <w:t>审计</w:t>
      </w:r>
      <w:r>
        <w:rPr>
          <w:rFonts w:hint="default" w:ascii="仿宋_GB2312" w:hAnsi="仿宋_GB2312" w:eastAsia="仿宋_GB2312" w:cs="仿宋_GB2312"/>
          <w:color w:val="auto"/>
          <w:sz w:val="32"/>
          <w:szCs w:val="32"/>
          <w:lang w:val="en" w:eastAsia="zh-CN"/>
        </w:rPr>
        <w:t>局</w:t>
      </w:r>
      <w:r>
        <w:rPr>
          <w:rFonts w:hint="eastAsia" w:ascii="仿宋_GB2312" w:hAnsi="仿宋_GB2312" w:eastAsia="仿宋_GB2312" w:cs="仿宋_GB2312"/>
          <w:color w:val="auto"/>
          <w:sz w:val="32"/>
          <w:szCs w:val="32"/>
          <w:lang w:val="en-US" w:eastAsia="zh-CN"/>
        </w:rPr>
        <w:t>复核结果（或上级部门专项审查结果）)/</w:t>
      </w:r>
      <w:r>
        <w:rPr>
          <w:rFonts w:hint="eastAsia" w:ascii="仿宋_GB2312" w:hAnsi="仿宋_GB2312" w:eastAsia="仿宋_GB2312" w:cs="仿宋_GB2312"/>
          <w:color w:val="auto"/>
          <w:sz w:val="32"/>
          <w:szCs w:val="32"/>
          <w:lang w:val="en" w:eastAsia="zh-CN"/>
        </w:rPr>
        <w:t>县</w:t>
      </w:r>
      <w:r>
        <w:rPr>
          <w:rFonts w:hint="eastAsia" w:ascii="仿宋_GB2312" w:hAnsi="仿宋_GB2312" w:eastAsia="仿宋_GB2312" w:cs="仿宋_GB2312"/>
          <w:color w:val="auto"/>
          <w:sz w:val="32"/>
          <w:szCs w:val="32"/>
          <w:lang w:val="en-US" w:eastAsia="zh-CN"/>
        </w:rPr>
        <w:t>审计</w:t>
      </w:r>
      <w:r>
        <w:rPr>
          <w:rFonts w:hint="default" w:ascii="仿宋_GB2312" w:hAnsi="仿宋_GB2312" w:eastAsia="仿宋_GB2312" w:cs="仿宋_GB2312"/>
          <w:color w:val="auto"/>
          <w:sz w:val="32"/>
          <w:szCs w:val="32"/>
          <w:lang w:val="en" w:eastAsia="zh-CN"/>
        </w:rPr>
        <w:t>局</w:t>
      </w:r>
      <w:r>
        <w:rPr>
          <w:rFonts w:hint="eastAsia" w:ascii="仿宋_GB2312" w:hAnsi="仿宋_GB2312" w:eastAsia="仿宋_GB2312" w:cs="仿宋_GB2312"/>
          <w:color w:val="auto"/>
          <w:sz w:val="32"/>
          <w:szCs w:val="32"/>
          <w:lang w:val="en-US" w:eastAsia="zh-CN"/>
        </w:rPr>
        <w:t>复核结果（或上级部门专项审查结果）</w:t>
      </w:r>
      <w:r>
        <w:rPr>
          <w:rFonts w:hint="eastAsia" w:ascii="汉仪细圆B5" w:hAnsi="汉仪细圆B5" w:eastAsia="汉仪细圆B5" w:cs="汉仪细圆B5"/>
          <w:color w:val="auto"/>
          <w:sz w:val="32"/>
          <w:szCs w:val="32"/>
          <w:lang w:val="en-US" w:eastAsia="zh-CN"/>
        </w:rPr>
        <w:t>×</w:t>
      </w:r>
      <w:r>
        <w:rPr>
          <w:rFonts w:hint="eastAsia" w:ascii="仿宋_GB2312" w:hAnsi="仿宋_GB2312" w:eastAsia="仿宋_GB2312" w:cs="仿宋_GB2312"/>
          <w:color w:val="auto"/>
          <w:sz w:val="32"/>
          <w:szCs w:val="32"/>
          <w:lang w:val="en-US" w:eastAsia="zh-CN"/>
        </w:rPr>
        <w:t>100</w:t>
      </w:r>
      <w:r>
        <w:rPr>
          <w:rFonts w:hint="eastAsia" w:ascii="汉仪瑞意宋简" w:hAnsi="汉仪瑞意宋简" w:eastAsia="汉仪瑞意宋简" w:cs="汉仪瑞意宋简"/>
          <w:color w:val="auto"/>
          <w:sz w:val="32"/>
          <w:szCs w:val="32"/>
          <w:lang w:val="en-US" w:eastAsia="zh-CN"/>
        </w:rPr>
        <w:t>%</w:t>
      </w:r>
      <w:r>
        <w:rPr>
          <w:rFonts w:hint="eastAsia" w:ascii="仿宋_GB2312" w:hAnsi="仿宋_GB2312" w:eastAsia="仿宋_GB2312" w:cs="仿宋_GB2312"/>
          <w:color w:val="auto"/>
          <w:sz w:val="32"/>
          <w:szCs w:val="32"/>
          <w:lang w:val="en-US" w:eastAsia="zh-CN"/>
        </w:rPr>
        <w:t>〕，县审计局将对咨询机构作出如下处理:</w:t>
      </w:r>
    </w:p>
    <w:p w14:paraId="32F4C46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1）工程预、结（决）算、招标控制价的审核</w:t>
      </w:r>
    </w:p>
    <w:p w14:paraId="058E8AE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①i在±1%内，对乙方进行口头或书面警告处理；</w:t>
      </w:r>
    </w:p>
    <w:p w14:paraId="750250B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②i在±1%—±3%之间的，扣减委托服务费的15%；</w:t>
      </w:r>
    </w:p>
    <w:p w14:paraId="372E16F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③i在±3%—±5%之间的，扣减委托服务费的30%；</w:t>
      </w:r>
    </w:p>
    <w:p w14:paraId="3BCA691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④i在±5%—±8%之间的，扣减委托服务费的60%；</w:t>
      </w:r>
    </w:p>
    <w:p w14:paraId="4B17F2A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⑤i在±8%—±10%之间的，扣减委托服务费的80%；</w:t>
      </w:r>
    </w:p>
    <w:p w14:paraId="2DBE9E4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⑥i&gt;±10%，扣减委托服务费的100%；</w:t>
      </w:r>
    </w:p>
    <w:p w14:paraId="7843FBF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⑦对i在±1%内，但单项偏差超过10万元以上的项目，每出现一次按扣减委托服务费的5%处理。</w:t>
      </w:r>
    </w:p>
    <w:p w14:paraId="4571B30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2）偏差情节特别严重的，视情节作出暂停委托任务或解除合同的处理。</w:t>
      </w:r>
    </w:p>
    <w:p w14:paraId="679C24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（3）逾期处理。因乙方原因，未能按项目委托协议书约定的时间提交初稿和定案稿及对复审意见处理不及时的，按如下规定处理：</w:t>
      </w:r>
    </w:p>
    <w:p w14:paraId="054E113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1）逾期2天内的，对负责审计和复核的中介机构进行口头或书面警告处理。</w:t>
      </w:r>
    </w:p>
    <w:p w14:paraId="0C20003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2）逾期超过2天未达到5天的，该项目委托服务费中介机构按95%支付。</w:t>
      </w:r>
    </w:p>
    <w:p w14:paraId="13D1EEE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3）逾期超过5天未达到10天的，该项目中介机构委托服务费按90%支付。</w:t>
      </w:r>
    </w:p>
    <w:p w14:paraId="66F104A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4）逾期超过10天未达到15天的，该项目中介机构委托服务费按85%支付。</w:t>
      </w:r>
    </w:p>
    <w:p w14:paraId="47C2C97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5）逾期超过15天未达到1个月的，该项目中介机构委托服务费按80%支付。</w:t>
      </w:r>
    </w:p>
    <w:p w14:paraId="79B55C6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6）逾期超过1个月以上的，甲方可作出解除委托协议并对中介机构所作出的工作不予付费的处理。</w:t>
      </w:r>
    </w:p>
    <w:p w14:paraId="7AB815C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7）对情形严重的，除按上述规定处理外，县审计局同时可采取相应措施追究中介机构的相应责任。</w:t>
      </w:r>
    </w:p>
    <w:p w14:paraId="0CF5D89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（4）咨询机构弄虚作假，与建设、施工、设计、监理和编制等单位串通，违反诚信和投标承诺等谋取非法利益或损害政府利益，一经查实，县审计局对其解除合同，并依法追究经济和法律责任。</w:t>
      </w:r>
    </w:p>
    <w:p w14:paraId="58C754A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（5）对拒绝接受监督检查和管理的咨询机构，县审计局有权终止其合作资格。</w:t>
      </w:r>
    </w:p>
    <w:p w14:paraId="7235C23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（6）实行廉政建设一票否决制。委托服务期间，若发现咨询机构在审计过程中有违法违纪行为，终止合同并将违法违纪情况报相关部门依法处理。</w:t>
      </w:r>
    </w:p>
    <w:p w14:paraId="79C20A5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（7）咨询机构将审计业务转包分包的，一经查实，县审计局有权对违约咨询机构解除委托、录入黑名单等处罚，并依法追究经济和法律责任。</w:t>
      </w:r>
    </w:p>
    <w:p w14:paraId="5E30057D">
      <w:pPr>
        <w:keepNext w:val="0"/>
        <w:keepLines w:val="0"/>
        <w:pageBreakBefore w:val="0"/>
        <w:widowControl w:val="0"/>
        <w:kinsoku/>
        <w:wordWrap/>
        <w:overflowPunct/>
        <w:topLinePunct w:val="0"/>
        <w:autoSpaceDE/>
        <w:autoSpaceDN/>
        <w:bidi w:val="0"/>
        <w:adjustRightInd/>
        <w:snapToGrid/>
        <w:ind w:firstLine="640" w:firstLineChars="200"/>
        <w:textAlignment w:val="auto"/>
      </w:pPr>
      <w:r>
        <w:rPr>
          <w:rFonts w:hint="eastAsia" w:ascii="仿宋_GB2312" w:hAnsi="仿宋_GB2312" w:eastAsia="仿宋_GB2312" w:cs="仿宋_GB2312"/>
          <w:color w:val="auto"/>
          <w:sz w:val="32"/>
          <w:szCs w:val="32"/>
          <w:lang w:val="en-US" w:eastAsia="zh-CN"/>
        </w:rPr>
        <w:t>（8）咨询机构的资质被降级或吊销的，县审计局将解除委托合同，对隐瞒期间所造成的损失，依法追究其经济和法律责任。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汉仪细圆B5">
    <w:altName w:val="Microsoft JhengHei"/>
    <w:panose1 w:val="02010600000101010101"/>
    <w:charset w:val="88"/>
    <w:family w:val="auto"/>
    <w:pitch w:val="default"/>
    <w:sig w:usb0="00000000" w:usb1="00000000" w:usb2="00000002" w:usb3="00000000" w:csb0="00100000" w:csb1="00000000"/>
  </w:font>
  <w:font w:name="Microsoft JhengHei">
    <w:panose1 w:val="020B0604030504040204"/>
    <w:charset w:val="88"/>
    <w:family w:val="auto"/>
    <w:pitch w:val="default"/>
    <w:sig w:usb0="00000087" w:usb1="28AF4000" w:usb2="00000016" w:usb3="00000000" w:csb0="00100009" w:csb1="00000000"/>
  </w:font>
  <w:font w:name="汉仪瑞意宋简">
    <w:altName w:val="宋体"/>
    <w:panose1 w:val="00020600040101010101"/>
    <w:charset w:val="86"/>
    <w:family w:val="auto"/>
    <w:pitch w:val="default"/>
    <w:sig w:usb0="00000000" w:usb1="00000000" w:usb2="00000016"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CF63B6"/>
    <w:rsid w:val="005D28AD"/>
    <w:rsid w:val="01AA3877"/>
    <w:rsid w:val="01C22B64"/>
    <w:rsid w:val="01E90844"/>
    <w:rsid w:val="02612B5C"/>
    <w:rsid w:val="048B7990"/>
    <w:rsid w:val="07AF42E1"/>
    <w:rsid w:val="08F37637"/>
    <w:rsid w:val="09A60DC8"/>
    <w:rsid w:val="09F2657F"/>
    <w:rsid w:val="0B1F750D"/>
    <w:rsid w:val="0B667E81"/>
    <w:rsid w:val="0B917C90"/>
    <w:rsid w:val="0E6A3E69"/>
    <w:rsid w:val="0F1B5DB5"/>
    <w:rsid w:val="115D4462"/>
    <w:rsid w:val="14EF7AC7"/>
    <w:rsid w:val="16BA2C97"/>
    <w:rsid w:val="183028D1"/>
    <w:rsid w:val="18784278"/>
    <w:rsid w:val="196D1903"/>
    <w:rsid w:val="19C77265"/>
    <w:rsid w:val="1A3345AB"/>
    <w:rsid w:val="1B875912"/>
    <w:rsid w:val="1BE834C2"/>
    <w:rsid w:val="1EC45B21"/>
    <w:rsid w:val="1ECB28E8"/>
    <w:rsid w:val="21491D1D"/>
    <w:rsid w:val="21DE514B"/>
    <w:rsid w:val="22C2681B"/>
    <w:rsid w:val="242F687A"/>
    <w:rsid w:val="24BE3012"/>
    <w:rsid w:val="251D5F8B"/>
    <w:rsid w:val="27675BE3"/>
    <w:rsid w:val="2826784C"/>
    <w:rsid w:val="28643ED1"/>
    <w:rsid w:val="29250112"/>
    <w:rsid w:val="2AA8279A"/>
    <w:rsid w:val="2DBE1174"/>
    <w:rsid w:val="2EC447E8"/>
    <w:rsid w:val="30422D49"/>
    <w:rsid w:val="305D5DD5"/>
    <w:rsid w:val="32514A62"/>
    <w:rsid w:val="32DA54BB"/>
    <w:rsid w:val="36962041"/>
    <w:rsid w:val="380A05F1"/>
    <w:rsid w:val="388448D6"/>
    <w:rsid w:val="3C101F4E"/>
    <w:rsid w:val="42336996"/>
    <w:rsid w:val="42C43A92"/>
    <w:rsid w:val="449251BB"/>
    <w:rsid w:val="451B4616"/>
    <w:rsid w:val="45920AF2"/>
    <w:rsid w:val="49B372E3"/>
    <w:rsid w:val="49E862B8"/>
    <w:rsid w:val="4CC57286"/>
    <w:rsid w:val="4D110FBB"/>
    <w:rsid w:val="4D754306"/>
    <w:rsid w:val="51F061A7"/>
    <w:rsid w:val="55646421"/>
    <w:rsid w:val="559207DE"/>
    <w:rsid w:val="57877110"/>
    <w:rsid w:val="5B86192E"/>
    <w:rsid w:val="5C3A504A"/>
    <w:rsid w:val="5CFA0384"/>
    <w:rsid w:val="5D292A17"/>
    <w:rsid w:val="5DA47AE4"/>
    <w:rsid w:val="5DC50992"/>
    <w:rsid w:val="5E96511B"/>
    <w:rsid w:val="614C4F26"/>
    <w:rsid w:val="62A0552A"/>
    <w:rsid w:val="655B1BDC"/>
    <w:rsid w:val="65D200F0"/>
    <w:rsid w:val="66CD08B8"/>
    <w:rsid w:val="6C5F1FB2"/>
    <w:rsid w:val="6E423939"/>
    <w:rsid w:val="6F107A34"/>
    <w:rsid w:val="6FAE38E2"/>
    <w:rsid w:val="707E6791"/>
    <w:rsid w:val="719F449E"/>
    <w:rsid w:val="721E638F"/>
    <w:rsid w:val="724F0D1A"/>
    <w:rsid w:val="72D8456E"/>
    <w:rsid w:val="73726A6F"/>
    <w:rsid w:val="754E7067"/>
    <w:rsid w:val="76193200"/>
    <w:rsid w:val="76806BC7"/>
    <w:rsid w:val="78AA02BF"/>
    <w:rsid w:val="79377E5C"/>
    <w:rsid w:val="7A6D7F90"/>
    <w:rsid w:val="7B4737C0"/>
    <w:rsid w:val="7B7D659C"/>
    <w:rsid w:val="7BDF6C6B"/>
    <w:rsid w:val="7DCF63B6"/>
    <w:rsid w:val="7E6F4E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1778</Words>
  <Characters>1831</Characters>
  <Lines>0</Lines>
  <Paragraphs>0</Paragraphs>
  <TotalTime>39</TotalTime>
  <ScaleCrop>false</ScaleCrop>
  <LinksUpToDate>false</LinksUpToDate>
  <CharactersWithSpaces>1845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2024-12-16T03:38:00Z</dcterms:created>
  <dc:creator> </dc:creator>
  <cp:lastModifiedBy> </cp:lastModifiedBy>
  <dcterms:modified xsi:type="dcterms:W3CDTF">2026-09-07T02:39:03Z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7DDCA5F27D6D4D4C9C669F8510BD87A2_13</vt:lpwstr>
  </property>
  <property fmtid="{D5CDD505-2E9C-101B-9397-08002B2CF9AE}" pid="4" name="KSOTemplateDocerSaveRecord">
    <vt:lpwstr>eyJoZGlkIjoiY2RhYmRiYTNkNmY1NmZiM2Y1MWVhOGVkNDJmNzEzNTUiLCJ1c2VySWQiOiI2NjgzMjczNzYifQ==</vt:lpwstr>
  </property>
</Properties>
</file>