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baseline"/>
        <w:outlineLvl w:val="0"/>
        <w:rPr>
          <w:rFonts w:hint="eastAsia" w:ascii="宋体" w:hAnsi="宋体" w:eastAsia="宋体" w:cs="宋体"/>
          <w:spacing w:val="-7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spacing w:val="-7"/>
          <w:sz w:val="40"/>
          <w:szCs w:val="40"/>
          <w:lang w:eastAsia="zh-CN"/>
        </w:rPr>
        <w:t>东湖路（南海路—前进大道）市政道路</w:t>
      </w:r>
      <w:r>
        <w:rPr>
          <w:rFonts w:ascii="宋体" w:hAnsi="宋体" w:eastAsia="宋体" w:cs="宋体"/>
          <w:spacing w:val="-7"/>
          <w:sz w:val="40"/>
          <w:szCs w:val="40"/>
        </w:rPr>
        <w:t>工程招标代理服务(</w:t>
      </w:r>
      <w:r>
        <w:rPr>
          <w:rFonts w:hint="eastAsia" w:ascii="宋体" w:hAnsi="宋体" w:eastAsia="宋体" w:cs="宋体"/>
          <w:spacing w:val="-7"/>
          <w:sz w:val="40"/>
          <w:szCs w:val="40"/>
          <w:lang w:eastAsia="zh-CN"/>
        </w:rPr>
        <w:t>含工程量清单编制和施工图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baseline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pacing w:val="-7"/>
          <w:sz w:val="40"/>
          <w:szCs w:val="40"/>
          <w:lang w:eastAsia="zh-CN"/>
        </w:rPr>
        <w:t>预算编制</w:t>
      </w:r>
      <w:r>
        <w:rPr>
          <w:rFonts w:ascii="宋体" w:hAnsi="宋体" w:eastAsia="宋体" w:cs="宋体"/>
          <w:spacing w:val="-7"/>
          <w:sz w:val="40"/>
          <w:szCs w:val="40"/>
        </w:rPr>
        <w:t>)采购需求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  <w:t>供应商资格条件：符合《中华人民共和国政府采购法》第二十二条规定，并提供以下证明材料：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spacing w:val="-14"/>
          <w:sz w:val="32"/>
          <w:szCs w:val="32"/>
        </w:rPr>
        <w:t>1</w:t>
      </w:r>
      <w:r>
        <w:rPr>
          <w:rFonts w:hint="eastAsia" w:ascii="仿宋" w:hAnsi="仿宋" w:eastAsia="仿宋" w:cs="仿宋"/>
          <w:spacing w:val="-43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、供应商必须具有独立法人资格，</w:t>
      </w:r>
      <w:r>
        <w:rPr>
          <w:rFonts w:hint="eastAsia" w:ascii="仿宋" w:hAnsi="仿宋" w:eastAsia="仿宋" w:cs="仿宋"/>
          <w:spacing w:val="-14"/>
          <w:sz w:val="32"/>
          <w:szCs w:val="32"/>
          <w:lang w:eastAsia="zh-CN"/>
        </w:rPr>
        <w:t>具有有效的企业营业执照、税务登记证、组织机构代码（或有效的三证合一的营业执照）。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代理机构需在省级财政部门依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托中国政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府采购网省级分网建立的政府名录内。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1"/>
          <w:sz w:val="32"/>
          <w:szCs w:val="32"/>
        </w:rPr>
      </w:pPr>
      <w:r>
        <w:rPr>
          <w:rFonts w:hint="eastAsia" w:ascii="仿宋" w:hAnsi="仿宋" w:eastAsia="仿宋" w:cs="仿宋"/>
          <w:spacing w:val="-11"/>
          <w:sz w:val="32"/>
          <w:szCs w:val="32"/>
        </w:rPr>
        <w:t>2</w:t>
      </w:r>
      <w:r>
        <w:rPr>
          <w:rFonts w:hint="eastAsia"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本项目负责人须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须具备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一级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注册造价工程师、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政府采购培训证书及招标代理上岗证书，</w:t>
      </w:r>
      <w:r>
        <w:rPr>
          <w:rFonts w:hint="eastAsia" w:ascii="仿宋" w:hAnsi="仿宋" w:eastAsia="仿宋" w:cs="仿宋"/>
          <w:spacing w:val="-16"/>
          <w:sz w:val="32"/>
          <w:szCs w:val="32"/>
          <w:lang w:eastAsia="zh-CN"/>
        </w:rPr>
        <w:t>除项目负责人外，项目组成成员需具有</w:t>
      </w:r>
      <w:r>
        <w:rPr>
          <w:rFonts w:hint="eastAsia" w:ascii="仿宋" w:hAnsi="仿宋" w:eastAsia="仿宋" w:cs="仿宋"/>
          <w:spacing w:val="-16"/>
          <w:sz w:val="32"/>
          <w:szCs w:val="32"/>
          <w:lang w:val="en-US" w:eastAsia="zh-CN"/>
        </w:rPr>
        <w:t>5名以上一级注册造价工程师。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拟派所有人员均需提供近三个月社保证明。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1"/>
          <w:sz w:val="32"/>
          <w:szCs w:val="32"/>
        </w:rPr>
      </w:pPr>
      <w:r>
        <w:rPr>
          <w:rFonts w:hint="eastAsia" w:ascii="仿宋" w:hAnsi="仿宋" w:eastAsia="仿宋" w:cs="仿宋"/>
          <w:spacing w:val="-12"/>
          <w:sz w:val="32"/>
          <w:szCs w:val="32"/>
        </w:rPr>
        <w:t>3</w:t>
      </w:r>
      <w:r>
        <w:rPr>
          <w:rFonts w:hint="eastAsia" w:ascii="仿宋" w:hAnsi="仿宋" w:eastAsia="仿宋" w:cs="仿宋"/>
          <w:spacing w:val="-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、供应商需具有良好的纳税记录和社会保障资金的良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好记录，提供近三个月完税证明及社保缴纳证明。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spacing w:val="-12"/>
          <w:sz w:val="32"/>
          <w:szCs w:val="32"/>
        </w:rPr>
        <w:t>4</w:t>
      </w:r>
      <w:r>
        <w:rPr>
          <w:rFonts w:hint="eastAsia" w:ascii="仿宋" w:hAnsi="仿宋" w:eastAsia="仿宋" w:cs="仿宋"/>
          <w:spacing w:val="-2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、参加政府采购活动前三年内，在经营活动中没有重大违法记录的书面声明。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spacing w:val="-12"/>
          <w:sz w:val="32"/>
          <w:szCs w:val="32"/>
        </w:rPr>
        <w:t>5</w:t>
      </w:r>
      <w:r>
        <w:rPr>
          <w:rFonts w:hint="eastAsia" w:ascii="仿宋" w:hAnsi="仿宋" w:eastAsia="仿宋" w:cs="仿宋"/>
          <w:spacing w:val="-3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、根据《关于在政府采购活动中查询及使用信用记录</w:t>
      </w:r>
      <w:r>
        <w:rPr>
          <w:rFonts w:hint="eastAsia" w:ascii="仿宋" w:hAnsi="仿宋" w:eastAsia="仿宋" w:cs="仿宋"/>
          <w:spacing w:val="2"/>
          <w:sz w:val="32"/>
          <w:szCs w:val="32"/>
        </w:rPr>
        <w:t>有关问题的通知》(财库[2016]125号)的规定，对列入失</w:t>
      </w:r>
      <w:r>
        <w:rPr>
          <w:rFonts w:hint="eastAsia" w:ascii="仿宋" w:hAnsi="仿宋" w:eastAsia="仿宋" w:cs="仿宋"/>
          <w:spacing w:val="-15"/>
          <w:sz w:val="32"/>
          <w:szCs w:val="32"/>
        </w:rPr>
        <w:t>信被执行人、重大税收违法案件当事人名单、政</w:t>
      </w:r>
      <w:r>
        <w:rPr>
          <w:rFonts w:hint="eastAsia" w:ascii="仿宋" w:hAnsi="仿宋" w:eastAsia="仿宋" w:cs="仿宋"/>
          <w:spacing w:val="-16"/>
          <w:sz w:val="32"/>
          <w:szCs w:val="32"/>
        </w:rPr>
        <w:t>府采购严重</w:t>
      </w:r>
      <w:r>
        <w:rPr>
          <w:rFonts w:hint="eastAsia" w:ascii="仿宋" w:hAnsi="仿宋" w:eastAsia="仿宋" w:cs="仿宋"/>
          <w:spacing w:val="-12"/>
          <w:sz w:val="32"/>
          <w:szCs w:val="32"/>
        </w:rPr>
        <w:t>违法失信行为记录名单的企业，不得参与本项目竞价。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531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5"/>
          <w:sz w:val="32"/>
          <w:szCs w:val="32"/>
        </w:rPr>
        <w:t>6</w:t>
      </w:r>
      <w:r>
        <w:rPr>
          <w:rFonts w:hint="eastAsia" w:ascii="仿宋" w:hAnsi="仿宋" w:eastAsia="仿宋" w:cs="仿宋"/>
          <w:spacing w:val="-2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、各供应商在</w:t>
      </w:r>
      <w:r>
        <w:rPr>
          <w:rFonts w:hint="eastAsia" w:ascii="仿宋" w:hAnsi="仿宋" w:eastAsia="仿宋" w:cs="仿宋"/>
          <w:spacing w:val="-11"/>
          <w:sz w:val="32"/>
          <w:szCs w:val="32"/>
        </w:rPr>
        <w:t>竞价结束前提供一套PDF 版响应文件并加盖企业公章后发送至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邮箱(</w:t>
      </w:r>
      <w:r>
        <w:rPr>
          <w:rFonts w:hint="eastAsia" w:ascii="仿宋" w:hAnsi="仿宋" w:eastAsia="仿宋" w:cs="仿宋"/>
          <w:spacing w:val="-85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zmdscsgx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@163.com)。未按要求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提交响应文件</w:t>
      </w:r>
      <w:r>
        <w:rPr>
          <w:rFonts w:hint="eastAsia" w:ascii="仿宋" w:hAnsi="仿宋" w:eastAsia="仿宋" w:cs="仿宋"/>
          <w:spacing w:val="-14"/>
          <w:sz w:val="32"/>
          <w:szCs w:val="32"/>
        </w:rPr>
        <w:t>的供应商评分值为零。</w:t>
      </w:r>
    </w:p>
    <w:p>
      <w:pPr>
        <w:jc w:val="center"/>
        <w:rPr>
          <w:rFonts w:hint="eastAsia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  <w:t>工程招标代理（含造价咨询）服务商城竞价</w:t>
      </w:r>
    </w:p>
    <w:p>
      <w:pPr>
        <w:jc w:val="center"/>
        <w:rPr>
          <w:rFonts w:hint="default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40"/>
          <w:szCs w:val="40"/>
          <w:u w:val="none"/>
          <w:lang w:val="en-US" w:eastAsia="zh-CN"/>
        </w:rPr>
        <w:t>评分标准</w:t>
      </w:r>
    </w:p>
    <w:tbl>
      <w:tblPr>
        <w:tblStyle w:val="4"/>
        <w:tblW w:w="93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025"/>
        <w:gridCol w:w="5584"/>
        <w:gridCol w:w="1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综合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要求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量化因素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具有开展业务所必需的办公场所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办公场所面积≥300㎡的办公场所，得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；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办公场所面积在200㎡—300㎡，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得6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分；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办公场所面积&lt;200㎡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分；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人员配备及合理性要求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项目负责人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具有高级工程师职称证书得5分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2、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项目组成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人员具有招标代理岗位证书5人及以上得5分，不满足不得分。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业绩要求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近3年内的业绩：</w:t>
            </w:r>
          </w:p>
          <w:p>
            <w:pPr>
              <w:widowControl w:val="0"/>
              <w:numPr>
                <w:ilvl w:val="0"/>
                <w:numId w:val="2"/>
              </w:numPr>
              <w:ind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供应商具有类似造价咨询业绩且大于等于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本项目同等规模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的，每项加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分，最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得10分；</w:t>
            </w:r>
          </w:p>
          <w:p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未提供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相关业绩证明的不得分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。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服务方案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（1）服务</w:t>
            </w:r>
            <w:r>
              <w:rPr>
                <w:rFonts w:hint="eastAsia" w:ascii="宋体" w:hAnsi="宋体" w:cs="宋体"/>
                <w:sz w:val="24"/>
              </w:rPr>
              <w:t>方案切实可行、工作计划安排合理、关键时间节点完全符合采购人要求的得</w:t>
            </w:r>
            <w:r>
              <w:rPr>
                <w:rFonts w:hint="eastAsia" w:ascii="宋体" w:hAnsi="宋体" w:eastAsia="宋体" w:cs="宋体"/>
                <w:sz w:val="24"/>
              </w:rPr>
              <w:t xml:space="preserve"> 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 w:val="24"/>
              </w:rPr>
              <w:t>分；</w:t>
            </w:r>
          </w:p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（2）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sz w:val="24"/>
              </w:rPr>
              <w:t>方案基本可行、工作计划安排基本合理、关键时间节点基本满足招标人要求的得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分；</w:t>
            </w:r>
          </w:p>
          <w:p>
            <w:pPr>
              <w:pStyle w:val="2"/>
              <w:widowControl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（3）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sz w:val="24"/>
              </w:rPr>
              <w:t>方案不合理、工作计划安排存在不合理之处、关键时间节点不清晰的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不得分</w:t>
            </w:r>
            <w:r>
              <w:rPr>
                <w:rFonts w:hint="eastAsia" w:ascii="宋体" w:hAnsi="宋体" w:cs="宋体"/>
                <w:sz w:val="24"/>
              </w:rPr>
              <w:t>。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</w:t>
            </w: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服务承诺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500" w:lineRule="exact"/>
              <w:jc w:val="left"/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>承诺的内容切实可行，满足项目需求的得</w:t>
            </w: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napToGrid w:val="0"/>
              <w:spacing w:line="50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 xml:space="preserve">（2）承诺的内容可行，基本满足项目需求的得 </w:t>
            </w: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>分；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>（3）承诺的内容一般，不能满足项目需求</w:t>
            </w:r>
            <w:bookmarkStart w:id="0" w:name="_GoBack"/>
            <w:bookmarkEnd w:id="0"/>
            <w:r>
              <w:rPr>
                <w:rFonts w:hint="eastAsia" w:ascii="宋体" w:hAnsi="宋体" w:cs="宋体"/>
                <w:spacing w:val="-4"/>
                <w:kern w:val="0"/>
                <w:sz w:val="24"/>
                <w:shd w:val="clear" w:color="auto" w:fill="FFFFFF"/>
              </w:rPr>
              <w:t>的</w:t>
            </w:r>
            <w:r>
              <w:rPr>
                <w:rFonts w:hint="eastAsia" w:ascii="宋体" w:hAnsi="宋体" w:eastAsia="宋体" w:cs="宋体"/>
                <w:spacing w:val="-4"/>
                <w:kern w:val="0"/>
                <w:sz w:val="24"/>
                <w:shd w:val="clear" w:color="auto" w:fill="FFFFFF"/>
                <w:lang w:eastAsia="zh-CN"/>
              </w:rPr>
              <w:t>不得分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654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025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报价得分</w:t>
            </w:r>
          </w:p>
        </w:tc>
        <w:tc>
          <w:tcPr>
            <w:tcW w:w="558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基准价为所有投标报价的平均值，有效投标报价为采购控制价的55%（含）—65%（含）；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报价等于基准价的得40分；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报价高于基准价时，每高出1%扣2分，扣完为止；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报价低于基准价时，每低出1%加2分，最多加10分。</w:t>
            </w:r>
          </w:p>
        </w:tc>
        <w:tc>
          <w:tcPr>
            <w:tcW w:w="1061" w:type="dxa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0-50分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2679" w:type="dxa"/>
            <w:gridSpan w:val="2"/>
            <w:noWrap w:val="0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  <w:tc>
          <w:tcPr>
            <w:tcW w:w="6645" w:type="dxa"/>
            <w:gridSpan w:val="2"/>
            <w:noWrap w:val="0"/>
            <w:vAlign w:val="center"/>
          </w:tcPr>
          <w:p>
            <w:pPr>
              <w:widowControl w:val="0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评审委员会根据以上1-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项对供应商提供的证明材料及报价合理性进行打分。最终按照供应商得分由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到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的顺序排序，向采购人推荐该项目的合格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lang w:val="en-US" w:eastAsia="zh-CN"/>
              </w:rPr>
              <w:t>候选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供应商。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5786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sectPr>
      <w:pgSz w:w="12290" w:h="17110"/>
      <w:pgMar w:top="1454" w:right="1843" w:bottom="0" w:left="184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3F57D9"/>
    <w:multiLevelType w:val="singleLevel"/>
    <w:tmpl w:val="D83F57D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FABF24D"/>
    <w:multiLevelType w:val="singleLevel"/>
    <w:tmpl w:val="FFABF24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FCE9BC9"/>
    <w:multiLevelType w:val="singleLevel"/>
    <w:tmpl w:val="FFCE9BC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1EF9BED"/>
    <w:multiLevelType w:val="singleLevel"/>
    <w:tmpl w:val="41EF9BED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C795CB9"/>
    <w:rsid w:val="77FB61B1"/>
    <w:rsid w:val="77FFE416"/>
    <w:rsid w:val="7BFE869B"/>
    <w:rsid w:val="7EB6F37E"/>
    <w:rsid w:val="9EF68C62"/>
    <w:rsid w:val="A4F92569"/>
    <w:rsid w:val="F7FF6097"/>
    <w:rsid w:val="FB9FE994"/>
    <w:rsid w:val="FBFDBA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</TotalTime>
  <ScaleCrop>false</ScaleCrop>
  <LinksUpToDate>false</LinksUpToDate>
  <Application>WPS Office_11.8.2.10534_F1E327BC-269C-435d-A152-05C5408002CA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2026-08-27T09:06:00Z</dcterms:created>
  <dc:creator>greatwall</dc:creator>
  <cp:lastModifiedBy>greatwall</cp:lastModifiedBy>
  <dcterms:modified xsi:type="dcterms:W3CDTF">2026-08-28T16:06:10Z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2026-08-25T09:06:15Z</vt:filetime>
  </property>
  <property fmtid="{D5CDD505-2E9C-101B-9397-08002B2CF9AE}" pid="4" name="UsrData">
    <vt:lpwstr>6a8cea857c8e5f001f48f47awl</vt:lpwstr>
  </property>
  <property fmtid="{D5CDD505-2E9C-101B-9397-08002B2CF9AE}" pid="5" name="KSOProductBuildVer">
    <vt:lpwstr>2052-11.8.2.10534</vt:lpwstr>
  </property>
</Properties>
</file>