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283"/>
        </w:tabs>
        <w:kinsoku/>
        <w:wordWrap/>
        <w:overflowPunct/>
        <w:topLinePunct w:val="0"/>
        <w:autoSpaceDE w:val="0"/>
        <w:autoSpaceDN w:val="0"/>
        <w:bidi w:val="0"/>
        <w:adjustRightInd w:val="0"/>
        <w:snapToGrid w:val="0"/>
        <w:spacing w:before="157" w:beforeLines="50" w:after="313" w:afterLines="100" w:line="240" w:lineRule="auto"/>
        <w:jc w:val="center"/>
        <w:textAlignment w:val="auto"/>
        <w:rPr>
          <w:rFonts w:hint="eastAsia" w:ascii="宋体" w:hAnsi="宋体" w:eastAsia="仿宋" w:cs="宋体"/>
          <w:b/>
          <w:bCs w:val="0"/>
          <w:color w:val="000000"/>
          <w:kern w:val="0"/>
          <w:sz w:val="44"/>
          <w:szCs w:val="28"/>
          <w:lang w:val="en-US" w:eastAsia="zh-CN"/>
        </w:rPr>
      </w:pPr>
      <w:r>
        <w:rPr>
          <w:rFonts w:hint="eastAsia" w:ascii="宋体" w:hAnsi="宋体" w:eastAsia="仿宋" w:cs="宋体"/>
          <w:b/>
          <w:bCs w:val="0"/>
          <w:color w:val="000000"/>
          <w:kern w:val="0"/>
          <w:sz w:val="44"/>
          <w:szCs w:val="28"/>
          <w:lang w:val="en-US" w:eastAsia="zh-CN"/>
        </w:rPr>
        <w:t>驻马店市第一人民医院</w:t>
      </w:r>
      <w:bookmarkStart w:id="0" w:name="_GoBack"/>
      <w:bookmarkEnd w:id="0"/>
    </w:p>
    <w:p>
      <w:pPr>
        <w:keepNext w:val="0"/>
        <w:keepLines w:val="0"/>
        <w:pageBreakBefore w:val="0"/>
        <w:widowControl w:val="0"/>
        <w:tabs>
          <w:tab w:val="left" w:pos="283"/>
        </w:tabs>
        <w:kinsoku/>
        <w:wordWrap/>
        <w:overflowPunct/>
        <w:topLinePunct w:val="0"/>
        <w:autoSpaceDE w:val="0"/>
        <w:autoSpaceDN w:val="0"/>
        <w:bidi w:val="0"/>
        <w:adjustRightInd w:val="0"/>
        <w:snapToGrid w:val="0"/>
        <w:spacing w:before="157" w:beforeLines="50" w:after="313" w:afterLines="100" w:line="240" w:lineRule="auto"/>
        <w:jc w:val="center"/>
        <w:textAlignment w:val="auto"/>
        <w:rPr>
          <w:rFonts w:hint="eastAsia" w:ascii="宋体" w:hAnsi="宋体" w:eastAsia="仿宋" w:cs="宋体"/>
          <w:b/>
          <w:bCs w:val="0"/>
          <w:color w:val="000000"/>
          <w:kern w:val="0"/>
          <w:sz w:val="44"/>
          <w:szCs w:val="28"/>
          <w:lang w:val="en-US" w:eastAsia="zh-CN"/>
        </w:rPr>
      </w:pPr>
      <w:r>
        <w:rPr>
          <w:rFonts w:hint="eastAsia" w:ascii="宋体" w:hAnsi="宋体" w:eastAsia="仿宋" w:cs="宋体"/>
          <w:b/>
          <w:bCs w:val="0"/>
          <w:color w:val="000000"/>
          <w:kern w:val="0"/>
          <w:sz w:val="44"/>
          <w:szCs w:val="28"/>
          <w:lang w:val="en-US" w:eastAsia="zh-CN"/>
        </w:rPr>
        <w:t>重点污染源自动监控基站运行服务需求</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一、运行服务工作范围</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1.1甲方委托乙方承接污染源自动监控基站运行服务；</w:t>
      </w:r>
    </w:p>
    <w:p>
      <w:pPr>
        <w:keepNext w:val="0"/>
        <w:keepLines w:val="0"/>
        <w:pageBreakBefore w:val="0"/>
        <w:widowControl w:val="0"/>
        <w:kinsoku/>
        <w:wordWrap/>
        <w:overflowPunct/>
        <w:topLinePunct w:val="0"/>
        <w:autoSpaceDE/>
        <w:autoSpaceDN/>
        <w:bidi w:val="0"/>
        <w:adjustRightInd/>
        <w:snapToGrid/>
        <w:spacing w:after="157" w:afterLines="50"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1.2 运行对象</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52"/>
        <w:gridCol w:w="1251"/>
        <w:gridCol w:w="1251"/>
        <w:gridCol w:w="1317"/>
        <w:gridCol w:w="2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产品名称</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型号</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单位</w:t>
            </w:r>
          </w:p>
        </w:tc>
        <w:tc>
          <w:tcPr>
            <w:tcW w:w="66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30"/>
                <w:szCs w:val="24"/>
                <w:lang w:val="en-US" w:eastAsia="zh-CN"/>
              </w:rPr>
              <w:t>数量</w:t>
            </w:r>
          </w:p>
        </w:tc>
        <w:tc>
          <w:tcPr>
            <w:tcW w:w="114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30"/>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C0D 在线分析仪</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皖仪</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套</w:t>
            </w:r>
          </w:p>
        </w:tc>
        <w:tc>
          <w:tcPr>
            <w:tcW w:w="66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1</w:t>
            </w:r>
          </w:p>
        </w:tc>
        <w:tc>
          <w:tcPr>
            <w:tcW w:w="114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30"/>
                <w:szCs w:val="24"/>
                <w:lang w:val="en-US" w:eastAsia="zh-CN"/>
              </w:rPr>
              <w:t>东院区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NH-H在线分析仪</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皖仪</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套</w:t>
            </w:r>
          </w:p>
        </w:tc>
        <w:tc>
          <w:tcPr>
            <w:tcW w:w="66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1</w:t>
            </w:r>
          </w:p>
        </w:tc>
        <w:tc>
          <w:tcPr>
            <w:tcW w:w="114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30"/>
                <w:szCs w:val="24"/>
                <w:lang w:val="en-US" w:eastAsia="zh-CN"/>
              </w:rPr>
              <w:t>东院区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COD 在线分析仪</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云璟</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套</w:t>
            </w:r>
          </w:p>
        </w:tc>
        <w:tc>
          <w:tcPr>
            <w:tcW w:w="66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1</w:t>
            </w:r>
          </w:p>
        </w:tc>
        <w:tc>
          <w:tcPr>
            <w:tcW w:w="114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30"/>
                <w:szCs w:val="24"/>
                <w:lang w:val="en-US" w:eastAsia="zh-CN"/>
              </w:rPr>
              <w:t>本部院区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N-H在线分析仪</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云璟</w:t>
            </w:r>
          </w:p>
        </w:tc>
        <w:tc>
          <w:tcPr>
            <w:tcW w:w="62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套</w:t>
            </w:r>
          </w:p>
        </w:tc>
        <w:tc>
          <w:tcPr>
            <w:tcW w:w="66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1</w:t>
            </w:r>
          </w:p>
        </w:tc>
        <w:tc>
          <w:tcPr>
            <w:tcW w:w="1147"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30"/>
                <w:szCs w:val="24"/>
                <w:lang w:val="en-US" w:eastAsia="zh-CN"/>
              </w:rPr>
              <w:t>本部院区</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1.3具体内容</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9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序号</w:t>
            </w:r>
          </w:p>
        </w:tc>
        <w:tc>
          <w:tcPr>
            <w:tcW w:w="459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1</w:t>
            </w:r>
          </w:p>
        </w:tc>
        <w:tc>
          <w:tcPr>
            <w:tcW w:w="459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按国家和省有关规范要求负责设备运行，提供自动监控监测数据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2</w:t>
            </w:r>
          </w:p>
        </w:tc>
        <w:tc>
          <w:tcPr>
            <w:tcW w:w="459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按有关技术规范对现场端数据和信息上传，负责现场端至通讯网络通讯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3</w:t>
            </w:r>
          </w:p>
        </w:tc>
        <w:tc>
          <w:tcPr>
            <w:tcW w:w="459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所有现场端监控系统的药剂供应和更换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4</w:t>
            </w:r>
          </w:p>
        </w:tc>
        <w:tc>
          <w:tcPr>
            <w:tcW w:w="459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lang w:val="en-US" w:eastAsia="zh-CN"/>
              </w:rPr>
              <w:t>所有现场端监控系统的日常维护、保养、故障检修和易损备件(试剂管路、接头，采样管路、采样泵、通讯模块)供应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5</w:t>
            </w:r>
          </w:p>
        </w:tc>
        <w:tc>
          <w:tcPr>
            <w:tcW w:w="459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所有现场端监控系统校检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6</w:t>
            </w:r>
          </w:p>
        </w:tc>
        <w:tc>
          <w:tcPr>
            <w:tcW w:w="459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 w:cs="Times New Roman"/>
                <w:sz w:val="28"/>
                <w:szCs w:val="28"/>
                <w:vertAlign w:val="baseline"/>
                <w:lang w:val="en-US" w:eastAsia="zh-CN"/>
              </w:rPr>
            </w:pPr>
            <w:r>
              <w:rPr>
                <w:rFonts w:hint="eastAsia" w:ascii="Times New Roman" w:hAnsi="Times New Roman" w:eastAsia="仿宋" w:cs="Times New Roman"/>
                <w:sz w:val="28"/>
                <w:szCs w:val="28"/>
                <w:vertAlign w:val="baseline"/>
                <w:lang w:val="en-US" w:eastAsia="zh-CN"/>
              </w:rPr>
              <w:t>所有现场端监控系统运行档案的建设</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1.4 运行应达到的工作目标</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(1)保证数据能够稳定传输至国家环保部指定网络，并且污染源自动监控基站正常运行率达到 90% 以上。</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(2)自动监控数据准确率达到90%以上</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(3)通过污染源所在地省辖市以上环保部门的考核。</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二、运行服务要求：</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2.1满足《中华人民共和国政府采购法》第二十二条规定。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2.2具有有效的营业执照证件。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三、运行标准及考核标准：</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3.1《污染源自动监控设施运行管理办法》(环保部环发[2008]6号)</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3.2《固定污染源排放烟气自动监控基站运行维护技术规范》DB41-T/1327-2016</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3.3另根据运行的污染源分类选择下列标准((3)(4)(5)(6))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(1)固定污染源排放烟气连续监测系统技术要求及检测方法(HJ/T76-2017)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(2)固定污染源排放烟气连续监测技术规范(HJI/T75-2017)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(3)水污染源在线监测系统安装技术规范(试行)(HJ/T353-2019)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(4)水污染源在线监测系统验收技术规范(试行)(HJ/T354-2019)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(5)水污染源在线监测系统运行与考核技术规范(试行)(HJ/T355-2019)</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(6)水污染源在线监测系统数据有效性判别技术规范(试行)(HJ/T356-2019)</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四、甲方的权利和义务：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4.1系统所选设备符合国家环保部和河南省环保厅污染源自动监控系统建设的有关要求，并通过环保部门的正式验收。甲方有获取和使用本企业污染源自动监控数据的权利，乙方应按程序提供相关服务。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4.2做好监测室及监测设备的防火防盗防破坏等工作，并对监测室设备的管线、管路等安全性负责，发现盗窃，人为破坏后，负责恢复。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4.3免费提供系统设备运行的水电，并对间断供水供电所造成的后果负责。甲方需要提供验收需要的材料及试剂的配方。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4.4甲方人员不得改变系统的各类仪器探头、信号线路、采样系统、室内布置。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4.5对验收后的自动监控系统不做任何实质性改动(拆除、闲置、更换等)，若有特殊原因需改动必须报经环保部门同意并备案，同时书面通知乙方。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4.6 甲方为乙方的运行服务提供出入等基本条件。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4.7 甲方为乙方提供运行服务必需的技术资料。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4.8甲方每年按照合同约定定期支付乙方所需运行费用。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4.9会同乙方做好自动监控设施比对测试、数据有效性审核等项工作。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4.10甲方作为本合同项下所有系统设备的所有权人和使用单位，应严格按照《计量法》及河南省和本地环保局的要求，定期对监控设施进行计量检定，检定费用由甲方承担。</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五、乙方的权利和义务：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5.1系统所选设备的通讯接口必须满足河南省污染源自动监控系统的联网要求并提供相应的数据接口和通讯协议。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5.2乙方要明确自动监测系统责任人，并将姓名、联系电话通知甲方备案。如人员发生变动，应及时通知甲方。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5.3 按运行需求配备各类专业技术人员、车辆及其他设施，保证达到相关要求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5.4建立齐全的系统设备配件、耗材、药剂及备用设备库，对其使用情况定期清点，乙方只负责设备的易损件免费更换，对于其它部件的损坏，乙方需协助甲方更换。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5.5严格按国家有关标准和河南省要求开展系统运行的各项工作要求，保证监测数据的准确性、有效性和通讯传输的稳定性。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5.6实事求是，科学运行，对监测数据不弄虚作假，接受当地环保部门的监督、考核。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5.7发现系统中的问题及时向甲方及当地环保部门通报，可随时提出合理化建议。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5.8运行维护过程如有不合格项，一切法律责任和罚款由乙方承担。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imes New Roman" w:hAnsi="Times New Roman" w:eastAsia="仿宋" w:cs="Times New Roman"/>
          <w:sz w:val="28"/>
          <w:szCs w:val="28"/>
          <w:lang w:val="en-US" w:eastAsia="zh-CN"/>
        </w:rPr>
      </w:pPr>
    </w:p>
    <w:sectPr>
      <w:pgSz w:w="11906" w:h="16838"/>
      <w:pgMar w:top="1440" w:right="1080" w:bottom="1440"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9216B"/>
    <w:rsid w:val="0FA9216B"/>
    <w:rsid w:val="355E0006"/>
    <w:rsid w:val="389C1C19"/>
    <w:rsid w:val="423D0D30"/>
    <w:rsid w:val="42903BD2"/>
    <w:rsid w:val="481D6F3A"/>
    <w:rsid w:val="55654C58"/>
    <w:rsid w:val="606C3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2025-08-06T08:17:00Z</dcterms:created>
  <dc:creator>麦克斯沃德</dc:creator>
  <cp:lastModifiedBy>麦克斯沃德</cp:lastModifiedBy>
  <dcterms:modified xsi:type="dcterms:W3CDTF">2026-07-27T07:49:14Z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