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9C0C9">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sz w:val="44"/>
          <w:szCs w:val="52"/>
          <w:lang w:val="en-US" w:eastAsia="zh-CN"/>
        </w:rPr>
      </w:pPr>
      <w:r>
        <w:rPr>
          <w:rFonts w:hint="eastAsia"/>
          <w:b/>
          <w:bCs/>
          <w:sz w:val="40"/>
          <w:szCs w:val="48"/>
          <w:lang w:val="en-US" w:eastAsia="zh-CN"/>
        </w:rPr>
        <w:t>电子商城竞价</w:t>
      </w:r>
      <w:r>
        <w:rPr>
          <w:rFonts w:hint="eastAsia"/>
          <w:b/>
          <w:bCs/>
          <w:sz w:val="40"/>
          <w:szCs w:val="48"/>
        </w:rPr>
        <w:t>项目</w:t>
      </w:r>
      <w:r>
        <w:rPr>
          <w:rFonts w:hint="eastAsia"/>
          <w:b/>
          <w:bCs/>
          <w:sz w:val="40"/>
          <w:szCs w:val="48"/>
          <w:lang w:val="en-US" w:eastAsia="zh-CN"/>
        </w:rPr>
        <w:t>采购需求确认书</w:t>
      </w:r>
    </w:p>
    <w:p w14:paraId="554EE34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sz w:val="32"/>
          <w:szCs w:val="32"/>
          <w:u w:val="none"/>
          <w:lang w:val="en-US" w:eastAsia="zh-CN"/>
        </w:rPr>
      </w:pPr>
      <w:r>
        <w:rPr>
          <w:rFonts w:hint="eastAsia" w:ascii="宋体" w:hAnsi="宋体" w:eastAsia="宋体" w:cs="宋体"/>
          <w:kern w:val="0"/>
          <w:sz w:val="32"/>
          <w:szCs w:val="32"/>
          <w:lang w:val="en-US" w:eastAsia="zh-CN" w:bidi="ar-SA"/>
        </w:rPr>
        <w:t>一、资质要求：</w:t>
      </w:r>
    </w:p>
    <w:p w14:paraId="328FFE0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color w:val="auto"/>
          <w:kern w:val="0"/>
          <w:sz w:val="32"/>
          <w:szCs w:val="32"/>
          <w:u w:val="none"/>
          <w:lang w:val="en-US" w:eastAsia="zh-CN" w:bidi="ar-SA"/>
        </w:rPr>
      </w:pPr>
      <w:r>
        <w:rPr>
          <w:rFonts w:hint="eastAsia" w:ascii="宋体" w:hAnsi="宋体" w:eastAsia="宋体" w:cs="宋体"/>
          <w:color w:val="auto"/>
          <w:kern w:val="0"/>
          <w:sz w:val="32"/>
          <w:szCs w:val="32"/>
          <w:u w:val="none"/>
          <w:lang w:val="en-US" w:eastAsia="zh-CN" w:bidi="ar-SA"/>
        </w:rPr>
        <w:t>1、参与投标单位具备《中华人民共和国政府采购法》第二十二条规定的条件，具备有效的</w:t>
      </w:r>
      <w:r>
        <w:rPr>
          <w:rFonts w:hint="eastAsia" w:ascii="宋体" w:hAnsi="宋体" w:eastAsia="宋体" w:cs="宋体"/>
          <w:color w:val="FF0000"/>
          <w:kern w:val="0"/>
          <w:sz w:val="32"/>
          <w:szCs w:val="32"/>
          <w:highlight w:val="none"/>
          <w:u w:val="none"/>
          <w:lang w:val="en-US" w:eastAsia="zh-CN" w:bidi="ar-SA"/>
        </w:rPr>
        <w:t>营业执照</w:t>
      </w:r>
      <w:r>
        <w:rPr>
          <w:rFonts w:hint="eastAsia" w:ascii="宋体" w:hAnsi="宋体" w:eastAsia="宋体" w:cs="宋体"/>
          <w:color w:val="auto"/>
          <w:kern w:val="0"/>
          <w:sz w:val="32"/>
          <w:szCs w:val="32"/>
          <w:u w:val="none"/>
          <w:lang w:val="en-US" w:eastAsia="zh-CN" w:bidi="ar-SA"/>
        </w:rPr>
        <w:t>。</w:t>
      </w:r>
    </w:p>
    <w:p w14:paraId="6E9B43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color w:val="auto"/>
          <w:kern w:val="0"/>
          <w:sz w:val="32"/>
          <w:szCs w:val="32"/>
          <w:u w:val="none"/>
          <w:lang w:val="en-US" w:eastAsia="zh-CN" w:bidi="ar-SA"/>
        </w:rPr>
      </w:pPr>
      <w:r>
        <w:rPr>
          <w:rFonts w:hint="eastAsia" w:ascii="宋体" w:hAnsi="宋体" w:eastAsia="宋体" w:cs="宋体"/>
          <w:color w:val="auto"/>
          <w:kern w:val="0"/>
          <w:sz w:val="32"/>
          <w:szCs w:val="32"/>
          <w:u w:val="none"/>
          <w:lang w:val="en-US" w:eastAsia="zh-CN" w:bidi="ar-SA"/>
        </w:rPr>
        <w:t>2、单位负责人为同一人或者存在直接控股、管理关系的不同供应商，不得参加同一合同项下的投标。一经发现，将导致投标同时被拒绝。</w:t>
      </w:r>
    </w:p>
    <w:p w14:paraId="763A4E7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color w:val="auto"/>
          <w:kern w:val="0"/>
          <w:sz w:val="32"/>
          <w:szCs w:val="32"/>
          <w:u w:val="none"/>
          <w:lang w:val="en-US" w:eastAsia="zh-CN" w:bidi="ar-SA"/>
        </w:rPr>
      </w:pPr>
      <w:r>
        <w:rPr>
          <w:rFonts w:hint="eastAsia" w:ascii="宋体" w:hAnsi="宋体" w:eastAsia="宋体" w:cs="宋体"/>
          <w:color w:val="auto"/>
          <w:kern w:val="0"/>
          <w:sz w:val="32"/>
          <w:szCs w:val="32"/>
          <w:u w:val="none"/>
          <w:lang w:val="en-US" w:eastAsia="zh-CN" w:bidi="ar-SA"/>
        </w:rPr>
        <w:t>3、供应商应提供近</w:t>
      </w:r>
      <w:r>
        <w:rPr>
          <w:rFonts w:hint="eastAsia" w:ascii="宋体" w:hAnsi="宋体" w:eastAsia="宋体" w:cs="宋体"/>
          <w:color w:val="FF0000"/>
          <w:kern w:val="0"/>
          <w:sz w:val="32"/>
          <w:szCs w:val="32"/>
          <w:u w:val="none"/>
          <w:lang w:val="en-US" w:eastAsia="zh-CN" w:bidi="ar-SA"/>
        </w:rPr>
        <w:t>两年度经审计的财务报告或者其基本开户银行出具的资信证明</w:t>
      </w:r>
      <w:r>
        <w:rPr>
          <w:rFonts w:hint="eastAsia" w:ascii="宋体" w:hAnsi="宋体" w:eastAsia="宋体" w:cs="宋体"/>
          <w:color w:val="auto"/>
          <w:kern w:val="0"/>
          <w:sz w:val="32"/>
          <w:szCs w:val="32"/>
          <w:u w:val="none"/>
          <w:lang w:val="en-US" w:eastAsia="zh-CN" w:bidi="ar-SA"/>
        </w:rPr>
        <w:t>；采购活动</w:t>
      </w:r>
      <w:r>
        <w:rPr>
          <w:rFonts w:hint="eastAsia" w:ascii="宋体" w:hAnsi="宋体" w:eastAsia="宋体" w:cs="宋体"/>
          <w:color w:val="FF0000"/>
          <w:kern w:val="0"/>
          <w:sz w:val="32"/>
          <w:szCs w:val="32"/>
          <w:u w:val="none"/>
          <w:lang w:val="en-US" w:eastAsia="zh-CN" w:bidi="ar-SA"/>
        </w:rPr>
        <w:t>近六个月任意一个月的依法缴纳税收的凭据和缴纳社会保险的凭据</w:t>
      </w:r>
      <w:r>
        <w:rPr>
          <w:rFonts w:hint="eastAsia" w:ascii="宋体" w:hAnsi="宋体" w:eastAsia="宋体" w:cs="宋体"/>
          <w:color w:val="auto"/>
          <w:kern w:val="0"/>
          <w:sz w:val="32"/>
          <w:szCs w:val="32"/>
          <w:u w:val="none"/>
          <w:lang w:val="en-US" w:eastAsia="zh-CN" w:bidi="ar-SA"/>
        </w:rPr>
        <w:t>；依法免税或不需要缴纳社会保障资金的供应商，应提供相应文件证明其依法免税或不需要缴纳社会保障资金。（新成立企业从成立之日起计算）；</w:t>
      </w:r>
    </w:p>
    <w:p w14:paraId="733E42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color w:val="auto"/>
          <w:kern w:val="0"/>
          <w:sz w:val="32"/>
          <w:szCs w:val="32"/>
          <w:u w:val="none"/>
          <w:lang w:val="en-US" w:eastAsia="zh-CN" w:bidi="ar-SA"/>
        </w:rPr>
      </w:pPr>
      <w:r>
        <w:rPr>
          <w:rFonts w:hint="eastAsia" w:ascii="宋体" w:hAnsi="宋体" w:eastAsia="宋体" w:cs="宋体"/>
          <w:color w:val="auto"/>
          <w:kern w:val="0"/>
          <w:sz w:val="32"/>
          <w:szCs w:val="32"/>
          <w:u w:val="none"/>
          <w:lang w:val="en-US" w:eastAsia="zh-CN" w:bidi="ar-SA"/>
        </w:rPr>
        <w:t>4、具有履行合同所必需的设备、人员和专业技术能力，以及完善的售后服务体系。</w:t>
      </w:r>
    </w:p>
    <w:p w14:paraId="548EF9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color w:val="FF0000"/>
          <w:kern w:val="0"/>
          <w:sz w:val="32"/>
          <w:szCs w:val="32"/>
          <w:u w:val="none"/>
          <w:lang w:val="en-US" w:eastAsia="zh-CN" w:bidi="ar-SA"/>
        </w:rPr>
      </w:pPr>
      <w:r>
        <w:rPr>
          <w:rFonts w:hint="eastAsia" w:ascii="宋体" w:hAnsi="宋体" w:eastAsia="宋体" w:cs="宋体"/>
          <w:color w:val="auto"/>
          <w:kern w:val="0"/>
          <w:sz w:val="32"/>
          <w:szCs w:val="32"/>
          <w:u w:val="none"/>
          <w:lang w:val="en-US" w:eastAsia="zh-CN" w:bidi="ar-SA"/>
        </w:rPr>
        <w:t>5、失信被执行人、重大税收违法案件当事人名单、政府采购严重违法失信行为记录名单查询记录</w:t>
      </w:r>
      <w:r>
        <w:rPr>
          <w:rFonts w:hint="eastAsia" w:ascii="宋体" w:hAnsi="宋体" w:eastAsia="宋体" w:cs="宋体"/>
          <w:color w:val="FF0000"/>
          <w:kern w:val="0"/>
          <w:sz w:val="32"/>
          <w:szCs w:val="32"/>
          <w:u w:val="none"/>
          <w:lang w:val="en-US" w:eastAsia="zh-CN" w:bidi="ar-SA"/>
        </w:rPr>
        <w:t>（“信用中国”及“中国政府采购网”查询记录）</w:t>
      </w:r>
    </w:p>
    <w:p w14:paraId="38B69DB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color w:val="auto"/>
          <w:kern w:val="0"/>
          <w:sz w:val="32"/>
          <w:szCs w:val="32"/>
          <w:u w:val="none"/>
          <w:lang w:val="en-US" w:eastAsia="zh-CN" w:bidi="ar-SA"/>
        </w:rPr>
      </w:pPr>
      <w:r>
        <w:rPr>
          <w:rFonts w:hint="eastAsia" w:ascii="宋体" w:hAnsi="宋体" w:eastAsia="宋体" w:cs="宋体"/>
          <w:color w:val="auto"/>
          <w:kern w:val="0"/>
          <w:sz w:val="32"/>
          <w:szCs w:val="32"/>
          <w:u w:val="none"/>
          <w:lang w:val="en-US" w:eastAsia="zh-CN" w:bidi="ar-SA"/>
        </w:rPr>
        <w:t>6、本次项目不接受联合体论证/投标，不允许转包和分包</w:t>
      </w:r>
    </w:p>
    <w:p w14:paraId="6AD30FC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color w:val="auto"/>
          <w:kern w:val="0"/>
          <w:sz w:val="32"/>
          <w:szCs w:val="32"/>
          <w:u w:val="none"/>
          <w:lang w:val="en-US" w:eastAsia="zh-CN" w:bidi="ar-SA"/>
        </w:rPr>
      </w:pPr>
      <w:r>
        <w:rPr>
          <w:rFonts w:hint="eastAsia" w:ascii="宋体" w:hAnsi="宋体" w:eastAsia="宋体" w:cs="宋体"/>
          <w:color w:val="auto"/>
          <w:kern w:val="0"/>
          <w:sz w:val="32"/>
          <w:szCs w:val="32"/>
          <w:u w:val="none"/>
          <w:lang w:val="en-US" w:eastAsia="zh-CN" w:bidi="ar-SA"/>
        </w:rPr>
        <w:t>7、符合法律、行政法规规定的其他条件；</w:t>
      </w:r>
    </w:p>
    <w:p w14:paraId="397F027A">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val="0"/>
          <w:bCs w:val="0"/>
          <w:kern w:val="0"/>
          <w:sz w:val="32"/>
          <w:szCs w:val="32"/>
          <w:lang w:val="en-US" w:eastAsia="zh-CN" w:bidi="ar-SA"/>
        </w:rPr>
      </w:pPr>
      <w:r>
        <w:rPr>
          <w:rFonts w:hint="eastAsia" w:ascii="宋体" w:hAnsi="宋体" w:eastAsia="宋体" w:cs="宋体"/>
          <w:b w:val="0"/>
          <w:bCs w:val="0"/>
          <w:kern w:val="0"/>
          <w:sz w:val="32"/>
          <w:szCs w:val="32"/>
          <w:lang w:val="en-US" w:eastAsia="zh-CN" w:bidi="ar-SA"/>
        </w:rPr>
        <w:t>二、项目具体内容及技术要求</w:t>
      </w:r>
    </w:p>
    <w:p w14:paraId="1FD73BD3">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3" w:firstLineChars="200"/>
        <w:textAlignment w:val="auto"/>
        <w:outlineLvl w:val="1"/>
        <w:rPr>
          <w:rFonts w:hint="eastAsia" w:ascii="宋体" w:hAnsi="宋体" w:eastAsia="宋体" w:cs="宋体"/>
          <w:b/>
          <w:bCs/>
          <w:kern w:val="0"/>
          <w:sz w:val="32"/>
          <w:szCs w:val="32"/>
          <w:lang w:val="en-US" w:eastAsia="zh-CN" w:bidi="ar-SA"/>
        </w:rPr>
      </w:pPr>
      <w:r>
        <w:rPr>
          <w:rFonts w:hint="eastAsia" w:ascii="宋体" w:hAnsi="宋体" w:eastAsia="宋体" w:cs="宋体"/>
          <w:b/>
          <w:bCs/>
          <w:kern w:val="0"/>
          <w:sz w:val="32"/>
          <w:szCs w:val="32"/>
          <w:lang w:val="en-US" w:eastAsia="zh-CN" w:bidi="ar-SA"/>
        </w:rPr>
        <w:t>（一）项目具体内容</w:t>
      </w:r>
    </w:p>
    <w:p w14:paraId="32C9B46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jc w:val="left"/>
        <w:textAlignment w:val="auto"/>
        <w:rPr>
          <w:rFonts w:hint="eastAsia" w:ascii="宋体" w:hAnsi="宋体" w:eastAsia="宋体" w:cs="宋体"/>
          <w:kern w:val="0"/>
          <w:sz w:val="32"/>
          <w:szCs w:val="32"/>
          <w:lang w:val="en-US" w:eastAsia="zh-CN" w:bidi="ar-SA"/>
        </w:rPr>
      </w:pPr>
      <w:r>
        <w:rPr>
          <w:rFonts w:hint="eastAsia" w:ascii="宋体" w:hAnsi="宋体" w:eastAsia="宋体" w:cs="宋体"/>
          <w:kern w:val="0"/>
          <w:sz w:val="32"/>
          <w:szCs w:val="32"/>
          <w:lang w:val="en-US" w:eastAsia="zh-CN" w:bidi="ar-SA"/>
        </w:rPr>
        <w:t>综合运用广播、电视和网站、微信、手机客户端等新媒体资源，在对外形象宣传、对内舆论引导、品牌产品维护、新型媒体运用、网络舆情监测等方面提供支持，协助驻马店市中医院开展各类宣传工作。</w:t>
      </w:r>
    </w:p>
    <w:p w14:paraId="30D501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kern w:val="0"/>
          <w:sz w:val="32"/>
          <w:szCs w:val="32"/>
          <w:lang w:val="en-US" w:eastAsia="zh-CN" w:bidi="ar-SA"/>
        </w:rPr>
      </w:pPr>
      <w:r>
        <w:rPr>
          <w:rFonts w:hint="eastAsia" w:ascii="宋体" w:hAnsi="宋体" w:eastAsia="宋体" w:cs="宋体"/>
          <w:kern w:val="0"/>
          <w:sz w:val="32"/>
          <w:szCs w:val="32"/>
          <w:lang w:val="en-US" w:eastAsia="zh-CN" w:bidi="ar-SA"/>
        </w:rPr>
        <w:t xml:space="preserve">    采购标的清单：</w:t>
      </w:r>
    </w:p>
    <w:tbl>
      <w:tblPr>
        <w:tblStyle w:val="11"/>
        <w:tblpPr w:leftFromText="180" w:rightFromText="180" w:vertAnchor="page" w:horzAnchor="page" w:tblpX="1841" w:tblpY="3867"/>
        <w:tblOverlap w:val="never"/>
        <w:tblW w:w="839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1"/>
        <w:gridCol w:w="4155"/>
        <w:gridCol w:w="1380"/>
        <w:gridCol w:w="1920"/>
      </w:tblGrid>
      <w:tr w14:paraId="5AB6D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941" w:type="dxa"/>
            <w:noWrap w:val="0"/>
            <w:vAlign w:val="top"/>
          </w:tcPr>
          <w:p w14:paraId="5B1B8B97">
            <w:pPr>
              <w:bidi w:val="0"/>
              <w:jc w:val="center"/>
              <w:rPr>
                <w:rFonts w:hint="eastAsia" w:ascii="仿宋" w:hAnsi="仿宋" w:eastAsia="仿宋" w:cs="仿宋"/>
                <w:sz w:val="32"/>
                <w:szCs w:val="32"/>
              </w:rPr>
            </w:pPr>
            <w:r>
              <w:rPr>
                <w:rFonts w:hint="eastAsia" w:ascii="仿宋" w:hAnsi="仿宋" w:eastAsia="仿宋" w:cs="仿宋"/>
                <w:sz w:val="32"/>
                <w:szCs w:val="32"/>
              </w:rPr>
              <w:t>序号</w:t>
            </w:r>
          </w:p>
        </w:tc>
        <w:tc>
          <w:tcPr>
            <w:tcW w:w="4155" w:type="dxa"/>
            <w:noWrap w:val="0"/>
            <w:vAlign w:val="top"/>
          </w:tcPr>
          <w:p w14:paraId="716216C9">
            <w:pPr>
              <w:bidi w:val="0"/>
              <w:jc w:val="cente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名称</w:t>
            </w:r>
          </w:p>
        </w:tc>
        <w:tc>
          <w:tcPr>
            <w:tcW w:w="1380" w:type="dxa"/>
            <w:noWrap w:val="0"/>
            <w:vAlign w:val="top"/>
          </w:tcPr>
          <w:p w14:paraId="7EAF31FD">
            <w:pPr>
              <w:bidi w:val="0"/>
              <w:jc w:val="center"/>
              <w:rPr>
                <w:rFonts w:hint="eastAsia" w:ascii="仿宋" w:hAnsi="仿宋" w:eastAsia="仿宋" w:cs="仿宋"/>
                <w:sz w:val="32"/>
                <w:szCs w:val="32"/>
              </w:rPr>
            </w:pPr>
            <w:r>
              <w:rPr>
                <w:rFonts w:hint="eastAsia" w:ascii="仿宋" w:hAnsi="仿宋" w:eastAsia="仿宋" w:cs="仿宋"/>
                <w:sz w:val="32"/>
                <w:szCs w:val="32"/>
              </w:rPr>
              <w:t>单位</w:t>
            </w:r>
          </w:p>
        </w:tc>
        <w:tc>
          <w:tcPr>
            <w:tcW w:w="1920" w:type="dxa"/>
            <w:noWrap w:val="0"/>
            <w:vAlign w:val="top"/>
          </w:tcPr>
          <w:p w14:paraId="3E592090">
            <w:pPr>
              <w:bidi w:val="0"/>
              <w:jc w:val="center"/>
              <w:rPr>
                <w:rFonts w:hint="eastAsia" w:ascii="仿宋" w:hAnsi="仿宋" w:eastAsia="仿宋" w:cs="仿宋"/>
                <w:sz w:val="32"/>
                <w:szCs w:val="32"/>
              </w:rPr>
            </w:pPr>
            <w:r>
              <w:rPr>
                <w:rFonts w:hint="eastAsia" w:ascii="仿宋" w:hAnsi="仿宋" w:eastAsia="仿宋" w:cs="仿宋"/>
                <w:sz w:val="32"/>
                <w:szCs w:val="32"/>
              </w:rPr>
              <w:t>数量</w:t>
            </w:r>
          </w:p>
        </w:tc>
      </w:tr>
      <w:tr w14:paraId="741A7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41" w:type="dxa"/>
            <w:noWrap w:val="0"/>
            <w:vAlign w:val="top"/>
          </w:tcPr>
          <w:p w14:paraId="4179BF17">
            <w:pPr>
              <w:bidi w:val="0"/>
              <w:jc w:val="center"/>
              <w:rPr>
                <w:rFonts w:hint="eastAsia" w:ascii="仿宋" w:hAnsi="仿宋" w:eastAsia="仿宋" w:cs="仿宋"/>
                <w:sz w:val="32"/>
                <w:szCs w:val="32"/>
              </w:rPr>
            </w:pPr>
            <w:r>
              <w:rPr>
                <w:rFonts w:hint="eastAsia" w:ascii="仿宋" w:hAnsi="仿宋" w:eastAsia="仿宋" w:cs="仿宋"/>
                <w:sz w:val="32"/>
                <w:szCs w:val="32"/>
              </w:rPr>
              <w:t>1</w:t>
            </w:r>
          </w:p>
        </w:tc>
        <w:tc>
          <w:tcPr>
            <w:tcW w:w="4155" w:type="dxa"/>
            <w:noWrap w:val="0"/>
            <w:vAlign w:val="top"/>
          </w:tcPr>
          <w:p w14:paraId="0C165D99">
            <w:pPr>
              <w:bidi w:val="0"/>
              <w:jc w:val="center"/>
              <w:rPr>
                <w:rFonts w:hint="eastAsia" w:ascii="仿宋" w:hAnsi="仿宋" w:eastAsia="仿宋" w:cs="仿宋"/>
                <w:sz w:val="32"/>
                <w:szCs w:val="32"/>
              </w:rPr>
            </w:pPr>
            <w:r>
              <w:rPr>
                <w:rFonts w:hint="eastAsia" w:ascii="仿宋" w:hAnsi="仿宋" w:eastAsia="仿宋" w:cs="仿宋"/>
                <w:sz w:val="32"/>
                <w:szCs w:val="32"/>
              </w:rPr>
              <w:t>专职人员支持</w:t>
            </w:r>
          </w:p>
        </w:tc>
        <w:tc>
          <w:tcPr>
            <w:tcW w:w="1380" w:type="dxa"/>
            <w:noWrap w:val="0"/>
            <w:vAlign w:val="top"/>
          </w:tcPr>
          <w:p w14:paraId="3E3D931A">
            <w:pPr>
              <w:bidi w:val="0"/>
              <w:jc w:val="center"/>
              <w:rPr>
                <w:rFonts w:hint="eastAsia" w:ascii="仿宋" w:hAnsi="仿宋" w:eastAsia="仿宋" w:cs="仿宋"/>
                <w:sz w:val="32"/>
                <w:szCs w:val="32"/>
              </w:rPr>
            </w:pPr>
            <w:r>
              <w:rPr>
                <w:rFonts w:hint="eastAsia" w:ascii="仿宋" w:hAnsi="仿宋" w:eastAsia="仿宋" w:cs="仿宋"/>
                <w:sz w:val="32"/>
                <w:szCs w:val="32"/>
              </w:rPr>
              <w:t>人</w:t>
            </w:r>
          </w:p>
        </w:tc>
        <w:tc>
          <w:tcPr>
            <w:tcW w:w="1920" w:type="dxa"/>
            <w:noWrap w:val="0"/>
            <w:vAlign w:val="top"/>
          </w:tcPr>
          <w:p w14:paraId="5E2DD718">
            <w:pPr>
              <w:bidi w:val="0"/>
              <w:jc w:val="center"/>
              <w:rPr>
                <w:rFonts w:hint="eastAsia" w:ascii="仿宋" w:hAnsi="仿宋" w:eastAsia="仿宋" w:cs="仿宋"/>
                <w:sz w:val="32"/>
                <w:szCs w:val="32"/>
              </w:rPr>
            </w:pPr>
            <w:r>
              <w:rPr>
                <w:rFonts w:hint="eastAsia" w:ascii="仿宋" w:hAnsi="仿宋" w:eastAsia="仿宋" w:cs="仿宋"/>
                <w:sz w:val="32"/>
                <w:szCs w:val="32"/>
              </w:rPr>
              <w:t>1</w:t>
            </w:r>
          </w:p>
        </w:tc>
      </w:tr>
      <w:tr w14:paraId="0EA2B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41" w:type="dxa"/>
            <w:noWrap w:val="0"/>
            <w:vAlign w:val="top"/>
          </w:tcPr>
          <w:p w14:paraId="3D819472">
            <w:pPr>
              <w:bidi w:val="0"/>
              <w:jc w:val="center"/>
              <w:rPr>
                <w:rFonts w:hint="eastAsia" w:ascii="仿宋" w:hAnsi="仿宋" w:eastAsia="仿宋" w:cs="仿宋"/>
                <w:sz w:val="32"/>
                <w:szCs w:val="32"/>
              </w:rPr>
            </w:pPr>
            <w:r>
              <w:rPr>
                <w:rFonts w:hint="eastAsia" w:ascii="仿宋" w:hAnsi="仿宋" w:eastAsia="仿宋" w:cs="仿宋"/>
                <w:sz w:val="32"/>
                <w:szCs w:val="32"/>
              </w:rPr>
              <w:t>2</w:t>
            </w:r>
          </w:p>
        </w:tc>
        <w:tc>
          <w:tcPr>
            <w:tcW w:w="4155" w:type="dxa"/>
            <w:noWrap w:val="0"/>
            <w:vAlign w:val="top"/>
          </w:tcPr>
          <w:p w14:paraId="3E683C79">
            <w:pPr>
              <w:bidi w:val="0"/>
              <w:jc w:val="center"/>
              <w:rPr>
                <w:rFonts w:hint="eastAsia" w:ascii="仿宋" w:hAnsi="仿宋" w:eastAsia="仿宋" w:cs="仿宋"/>
                <w:sz w:val="32"/>
                <w:szCs w:val="32"/>
              </w:rPr>
            </w:pPr>
            <w:r>
              <w:rPr>
                <w:rFonts w:hint="eastAsia" w:ascii="仿宋" w:hAnsi="仿宋" w:eastAsia="仿宋" w:cs="仿宋"/>
                <w:sz w:val="32"/>
                <w:szCs w:val="32"/>
              </w:rPr>
              <w:t>电视新闻稿件</w:t>
            </w:r>
          </w:p>
        </w:tc>
        <w:tc>
          <w:tcPr>
            <w:tcW w:w="1380" w:type="dxa"/>
            <w:noWrap w:val="0"/>
            <w:vAlign w:val="top"/>
          </w:tcPr>
          <w:p w14:paraId="2EF543BB">
            <w:pPr>
              <w:bidi w:val="0"/>
              <w:jc w:val="center"/>
              <w:rPr>
                <w:rFonts w:hint="eastAsia" w:ascii="仿宋" w:hAnsi="仿宋" w:eastAsia="仿宋" w:cs="仿宋"/>
                <w:sz w:val="32"/>
                <w:szCs w:val="32"/>
              </w:rPr>
            </w:pPr>
            <w:r>
              <w:rPr>
                <w:rFonts w:hint="eastAsia" w:ascii="仿宋" w:hAnsi="仿宋" w:eastAsia="仿宋" w:cs="仿宋"/>
                <w:sz w:val="32"/>
                <w:szCs w:val="32"/>
              </w:rPr>
              <w:t>条</w:t>
            </w:r>
          </w:p>
        </w:tc>
        <w:tc>
          <w:tcPr>
            <w:tcW w:w="1920" w:type="dxa"/>
            <w:noWrap w:val="0"/>
            <w:vAlign w:val="top"/>
          </w:tcPr>
          <w:p w14:paraId="7CD5DCC3">
            <w:pPr>
              <w:bidi w:val="0"/>
              <w:jc w:val="center"/>
              <w:rPr>
                <w:rFonts w:hint="default" w:ascii="仿宋" w:hAnsi="仿宋" w:eastAsia="仿宋" w:cs="仿宋"/>
                <w:sz w:val="32"/>
                <w:szCs w:val="32"/>
                <w:lang w:val="en-US"/>
              </w:rPr>
            </w:pPr>
            <w:r>
              <w:rPr>
                <w:rFonts w:hint="eastAsia" w:ascii="仿宋" w:hAnsi="仿宋" w:eastAsia="仿宋" w:cs="仿宋"/>
                <w:sz w:val="32"/>
                <w:szCs w:val="32"/>
                <w:lang w:val="en-US" w:eastAsia="zh-CN"/>
              </w:rPr>
              <w:t>60</w:t>
            </w:r>
          </w:p>
        </w:tc>
      </w:tr>
      <w:tr w14:paraId="7FE6A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41" w:type="dxa"/>
            <w:noWrap w:val="0"/>
            <w:vAlign w:val="top"/>
          </w:tcPr>
          <w:p w14:paraId="46B7DE0A">
            <w:pPr>
              <w:bidi w:val="0"/>
              <w:jc w:val="center"/>
              <w:rPr>
                <w:rFonts w:hint="eastAsia" w:ascii="仿宋" w:hAnsi="仿宋" w:eastAsia="仿宋" w:cs="仿宋"/>
                <w:sz w:val="32"/>
                <w:szCs w:val="32"/>
              </w:rPr>
            </w:pPr>
            <w:r>
              <w:rPr>
                <w:rFonts w:hint="eastAsia" w:ascii="仿宋" w:hAnsi="仿宋" w:eastAsia="仿宋" w:cs="仿宋"/>
                <w:sz w:val="32"/>
                <w:szCs w:val="32"/>
              </w:rPr>
              <w:t>3</w:t>
            </w:r>
          </w:p>
        </w:tc>
        <w:tc>
          <w:tcPr>
            <w:tcW w:w="4155" w:type="dxa"/>
            <w:noWrap w:val="0"/>
            <w:vAlign w:val="top"/>
          </w:tcPr>
          <w:p w14:paraId="09F8C4C3">
            <w:pPr>
              <w:bidi w:val="0"/>
              <w:jc w:val="center"/>
              <w:rPr>
                <w:rFonts w:hint="eastAsia" w:ascii="仿宋" w:hAnsi="仿宋" w:eastAsia="仿宋" w:cs="仿宋"/>
                <w:sz w:val="32"/>
                <w:szCs w:val="32"/>
              </w:rPr>
            </w:pPr>
            <w:r>
              <w:rPr>
                <w:rFonts w:hint="eastAsia" w:ascii="仿宋" w:hAnsi="仿宋" w:eastAsia="仿宋" w:cs="仿宋"/>
                <w:sz w:val="32"/>
                <w:szCs w:val="32"/>
              </w:rPr>
              <w:t>新闻网站图文稿件</w:t>
            </w:r>
          </w:p>
        </w:tc>
        <w:tc>
          <w:tcPr>
            <w:tcW w:w="1380" w:type="dxa"/>
            <w:noWrap w:val="0"/>
            <w:vAlign w:val="top"/>
          </w:tcPr>
          <w:p w14:paraId="1EE41B1C">
            <w:pPr>
              <w:bidi w:val="0"/>
              <w:jc w:val="center"/>
              <w:rPr>
                <w:rFonts w:hint="eastAsia" w:ascii="仿宋" w:hAnsi="仿宋" w:eastAsia="仿宋" w:cs="仿宋"/>
                <w:sz w:val="32"/>
                <w:szCs w:val="32"/>
              </w:rPr>
            </w:pPr>
            <w:r>
              <w:rPr>
                <w:rFonts w:hint="eastAsia" w:ascii="仿宋" w:hAnsi="仿宋" w:eastAsia="仿宋" w:cs="仿宋"/>
                <w:sz w:val="32"/>
                <w:szCs w:val="32"/>
              </w:rPr>
              <w:t>条</w:t>
            </w:r>
          </w:p>
        </w:tc>
        <w:tc>
          <w:tcPr>
            <w:tcW w:w="1920" w:type="dxa"/>
            <w:noWrap w:val="0"/>
            <w:vAlign w:val="top"/>
          </w:tcPr>
          <w:p w14:paraId="5167A12C">
            <w:pPr>
              <w:bidi w:val="0"/>
              <w:jc w:val="center"/>
              <w:rPr>
                <w:rFonts w:hint="eastAsia" w:ascii="仿宋" w:hAnsi="仿宋" w:eastAsia="仿宋" w:cs="仿宋"/>
                <w:sz w:val="32"/>
                <w:szCs w:val="32"/>
              </w:rPr>
            </w:pPr>
            <w:r>
              <w:rPr>
                <w:rFonts w:hint="eastAsia" w:ascii="仿宋" w:hAnsi="仿宋" w:eastAsia="仿宋" w:cs="仿宋"/>
                <w:sz w:val="32"/>
                <w:szCs w:val="32"/>
              </w:rPr>
              <w:t>200</w:t>
            </w:r>
          </w:p>
        </w:tc>
      </w:tr>
      <w:tr w14:paraId="103F2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1" w:type="dxa"/>
            <w:noWrap w:val="0"/>
            <w:vAlign w:val="top"/>
          </w:tcPr>
          <w:p w14:paraId="7105F5C0">
            <w:pPr>
              <w:bidi w:val="0"/>
              <w:jc w:val="center"/>
              <w:rPr>
                <w:rFonts w:hint="eastAsia" w:ascii="仿宋" w:hAnsi="仿宋" w:eastAsia="仿宋" w:cs="仿宋"/>
                <w:sz w:val="32"/>
                <w:szCs w:val="32"/>
              </w:rPr>
            </w:pPr>
            <w:r>
              <w:rPr>
                <w:rFonts w:hint="eastAsia" w:ascii="仿宋" w:hAnsi="仿宋" w:eastAsia="仿宋" w:cs="仿宋"/>
                <w:sz w:val="32"/>
                <w:szCs w:val="32"/>
              </w:rPr>
              <w:t>4</w:t>
            </w:r>
          </w:p>
        </w:tc>
        <w:tc>
          <w:tcPr>
            <w:tcW w:w="4155" w:type="dxa"/>
            <w:noWrap w:val="0"/>
            <w:vAlign w:val="top"/>
          </w:tcPr>
          <w:p w14:paraId="099F2B68">
            <w:pPr>
              <w:bidi w:val="0"/>
              <w:jc w:val="center"/>
              <w:rPr>
                <w:rFonts w:hint="eastAsia" w:ascii="仿宋" w:hAnsi="仿宋" w:eastAsia="仿宋" w:cs="仿宋"/>
                <w:sz w:val="32"/>
                <w:szCs w:val="32"/>
              </w:rPr>
            </w:pPr>
            <w:r>
              <w:rPr>
                <w:rFonts w:hint="eastAsia" w:ascii="仿宋" w:hAnsi="仿宋" w:eastAsia="仿宋" w:cs="仿宋"/>
                <w:sz w:val="32"/>
                <w:szCs w:val="32"/>
              </w:rPr>
              <w:t>抖音新媒体短视频</w:t>
            </w:r>
          </w:p>
        </w:tc>
        <w:tc>
          <w:tcPr>
            <w:tcW w:w="1380" w:type="dxa"/>
            <w:noWrap w:val="0"/>
            <w:vAlign w:val="top"/>
          </w:tcPr>
          <w:p w14:paraId="638BE554">
            <w:pPr>
              <w:bidi w:val="0"/>
              <w:jc w:val="center"/>
              <w:rPr>
                <w:rFonts w:hint="eastAsia" w:ascii="仿宋" w:hAnsi="仿宋" w:eastAsia="仿宋" w:cs="仿宋"/>
                <w:sz w:val="32"/>
                <w:szCs w:val="32"/>
              </w:rPr>
            </w:pPr>
            <w:r>
              <w:rPr>
                <w:rFonts w:hint="eastAsia" w:ascii="仿宋" w:hAnsi="仿宋" w:eastAsia="仿宋" w:cs="仿宋"/>
                <w:sz w:val="32"/>
                <w:szCs w:val="32"/>
              </w:rPr>
              <w:t>条</w:t>
            </w:r>
          </w:p>
        </w:tc>
        <w:tc>
          <w:tcPr>
            <w:tcW w:w="1920" w:type="dxa"/>
            <w:noWrap w:val="0"/>
            <w:vAlign w:val="top"/>
          </w:tcPr>
          <w:p w14:paraId="1F688FDD">
            <w:pPr>
              <w:bidi w:val="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60</w:t>
            </w:r>
          </w:p>
        </w:tc>
      </w:tr>
      <w:tr w14:paraId="1974F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41" w:type="dxa"/>
            <w:noWrap w:val="0"/>
            <w:vAlign w:val="top"/>
          </w:tcPr>
          <w:p w14:paraId="25AD4BEF">
            <w:pPr>
              <w:bidi w:val="0"/>
              <w:jc w:val="center"/>
              <w:rPr>
                <w:rFonts w:hint="eastAsia" w:ascii="仿宋" w:hAnsi="仿宋" w:eastAsia="仿宋" w:cs="仿宋"/>
                <w:sz w:val="32"/>
                <w:szCs w:val="32"/>
              </w:rPr>
            </w:pPr>
            <w:r>
              <w:rPr>
                <w:rFonts w:hint="eastAsia" w:ascii="仿宋" w:hAnsi="仿宋" w:eastAsia="仿宋" w:cs="仿宋"/>
                <w:sz w:val="32"/>
                <w:szCs w:val="32"/>
              </w:rPr>
              <w:t>5</w:t>
            </w:r>
          </w:p>
        </w:tc>
        <w:tc>
          <w:tcPr>
            <w:tcW w:w="4155" w:type="dxa"/>
            <w:noWrap w:val="0"/>
            <w:vAlign w:val="top"/>
          </w:tcPr>
          <w:p w14:paraId="340C5520">
            <w:pPr>
              <w:bidi w:val="0"/>
              <w:jc w:val="center"/>
              <w:rPr>
                <w:rFonts w:hint="eastAsia" w:ascii="仿宋" w:hAnsi="仿宋" w:eastAsia="仿宋" w:cs="仿宋"/>
                <w:sz w:val="32"/>
                <w:szCs w:val="32"/>
              </w:rPr>
            </w:pPr>
            <w:r>
              <w:rPr>
                <w:rFonts w:hint="eastAsia" w:ascii="仿宋" w:hAnsi="仿宋" w:eastAsia="仿宋" w:cs="仿宋"/>
                <w:sz w:val="32"/>
                <w:szCs w:val="32"/>
              </w:rPr>
              <w:t>现场直播服务</w:t>
            </w:r>
          </w:p>
        </w:tc>
        <w:tc>
          <w:tcPr>
            <w:tcW w:w="1380" w:type="dxa"/>
            <w:noWrap w:val="0"/>
            <w:vAlign w:val="top"/>
          </w:tcPr>
          <w:p w14:paraId="35E32A57">
            <w:pPr>
              <w:bidi w:val="0"/>
              <w:jc w:val="center"/>
              <w:rPr>
                <w:rFonts w:hint="eastAsia" w:ascii="仿宋" w:hAnsi="仿宋" w:eastAsia="仿宋" w:cs="仿宋"/>
                <w:sz w:val="32"/>
                <w:szCs w:val="32"/>
              </w:rPr>
            </w:pPr>
            <w:r>
              <w:rPr>
                <w:rFonts w:hint="eastAsia" w:ascii="仿宋" w:hAnsi="仿宋" w:eastAsia="仿宋" w:cs="仿宋"/>
                <w:sz w:val="32"/>
                <w:szCs w:val="32"/>
              </w:rPr>
              <w:t>场</w:t>
            </w:r>
          </w:p>
        </w:tc>
        <w:tc>
          <w:tcPr>
            <w:tcW w:w="1920" w:type="dxa"/>
            <w:noWrap w:val="0"/>
            <w:vAlign w:val="top"/>
          </w:tcPr>
          <w:p w14:paraId="6304DFAE">
            <w:pPr>
              <w:bidi w:val="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p>
        </w:tc>
      </w:tr>
      <w:tr w14:paraId="6A159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941" w:type="dxa"/>
            <w:noWrap w:val="0"/>
            <w:vAlign w:val="top"/>
          </w:tcPr>
          <w:p w14:paraId="2ADD2433">
            <w:pPr>
              <w:bidi w:val="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w:t>
            </w:r>
          </w:p>
        </w:tc>
        <w:tc>
          <w:tcPr>
            <w:tcW w:w="4155" w:type="dxa"/>
            <w:noWrap w:val="0"/>
            <w:vAlign w:val="top"/>
          </w:tcPr>
          <w:p w14:paraId="60F1DC60">
            <w:pPr>
              <w:bidi w:val="0"/>
              <w:jc w:val="center"/>
              <w:rPr>
                <w:rFonts w:hint="default" w:ascii="仿宋" w:hAnsi="仿宋" w:eastAsia="仿宋" w:cs="仿宋"/>
                <w:sz w:val="32"/>
                <w:szCs w:val="32"/>
                <w:lang w:val="en-US" w:eastAsia="zh-CN"/>
              </w:rPr>
            </w:pPr>
            <w:r>
              <w:rPr>
                <w:rFonts w:hint="eastAsia" w:ascii="仿宋" w:hAnsi="仿宋" w:eastAsia="仿宋" w:cs="仿宋"/>
                <w:b w:val="0"/>
                <w:bCs w:val="0"/>
                <w:sz w:val="32"/>
                <w:szCs w:val="32"/>
                <w:lang w:val="en-US" w:eastAsia="zh-CN"/>
              </w:rPr>
              <w:t>全年大型活动</w:t>
            </w:r>
          </w:p>
        </w:tc>
        <w:tc>
          <w:tcPr>
            <w:tcW w:w="1380" w:type="dxa"/>
            <w:noWrap w:val="0"/>
            <w:vAlign w:val="top"/>
          </w:tcPr>
          <w:p w14:paraId="4632B497">
            <w:pPr>
              <w:bidi w:val="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场</w:t>
            </w:r>
          </w:p>
        </w:tc>
        <w:tc>
          <w:tcPr>
            <w:tcW w:w="1920" w:type="dxa"/>
            <w:noWrap w:val="0"/>
            <w:vAlign w:val="top"/>
          </w:tcPr>
          <w:p w14:paraId="39DAC1D9">
            <w:pPr>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p>
        </w:tc>
      </w:tr>
      <w:tr w14:paraId="36D75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1" w:type="dxa"/>
            <w:noWrap w:val="0"/>
            <w:vAlign w:val="top"/>
          </w:tcPr>
          <w:p w14:paraId="5FCB3F3A">
            <w:pPr>
              <w:bidi w:val="0"/>
              <w:jc w:val="center"/>
              <w:rPr>
                <w:rFonts w:hint="eastAsia" w:ascii="仿宋" w:hAnsi="仿宋" w:eastAsia="仿宋" w:cs="仿宋"/>
                <w:sz w:val="32"/>
                <w:szCs w:val="32"/>
              </w:rPr>
            </w:pPr>
            <w:r>
              <w:rPr>
                <w:rFonts w:hint="eastAsia" w:ascii="仿宋" w:hAnsi="仿宋" w:eastAsia="仿宋" w:cs="仿宋"/>
                <w:sz w:val="32"/>
                <w:szCs w:val="32"/>
              </w:rPr>
              <w:t>7</w:t>
            </w:r>
          </w:p>
        </w:tc>
        <w:tc>
          <w:tcPr>
            <w:tcW w:w="4155" w:type="dxa"/>
            <w:noWrap w:val="0"/>
            <w:vAlign w:val="top"/>
          </w:tcPr>
          <w:p w14:paraId="6CD844B0">
            <w:pPr>
              <w:bidi w:val="0"/>
              <w:jc w:val="center"/>
              <w:rPr>
                <w:rFonts w:hint="eastAsia" w:ascii="仿宋" w:hAnsi="仿宋" w:eastAsia="仿宋" w:cs="仿宋"/>
                <w:sz w:val="32"/>
                <w:szCs w:val="32"/>
              </w:rPr>
            </w:pPr>
            <w:r>
              <w:rPr>
                <w:rFonts w:hint="eastAsia" w:ascii="仿宋" w:hAnsi="仿宋" w:eastAsia="仿宋" w:cs="仿宋"/>
                <w:sz w:val="32"/>
                <w:szCs w:val="32"/>
              </w:rPr>
              <w:t>专家访谈（5 分钟）</w:t>
            </w:r>
          </w:p>
        </w:tc>
        <w:tc>
          <w:tcPr>
            <w:tcW w:w="1380" w:type="dxa"/>
            <w:noWrap w:val="0"/>
            <w:vAlign w:val="top"/>
          </w:tcPr>
          <w:p w14:paraId="7A838817">
            <w:pPr>
              <w:bidi w:val="0"/>
              <w:jc w:val="center"/>
              <w:rPr>
                <w:rFonts w:hint="eastAsia" w:ascii="仿宋" w:hAnsi="仿宋" w:eastAsia="仿宋" w:cs="仿宋"/>
                <w:sz w:val="32"/>
                <w:szCs w:val="32"/>
              </w:rPr>
            </w:pPr>
            <w:r>
              <w:rPr>
                <w:rFonts w:hint="eastAsia" w:ascii="仿宋" w:hAnsi="仿宋" w:eastAsia="仿宋" w:cs="仿宋"/>
                <w:sz w:val="32"/>
                <w:szCs w:val="32"/>
              </w:rPr>
              <w:t>次</w:t>
            </w:r>
          </w:p>
        </w:tc>
        <w:tc>
          <w:tcPr>
            <w:tcW w:w="1920" w:type="dxa"/>
            <w:noWrap w:val="0"/>
            <w:vAlign w:val="top"/>
          </w:tcPr>
          <w:p w14:paraId="6CBC23B2">
            <w:pPr>
              <w:bidi w:val="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25</w:t>
            </w:r>
          </w:p>
        </w:tc>
      </w:tr>
    </w:tbl>
    <w:p w14:paraId="6ECD16CA">
      <w:pPr>
        <w:pStyle w:val="2"/>
        <w:keepNext w:val="0"/>
        <w:keepLines w:val="0"/>
        <w:pageBreakBefore w:val="0"/>
        <w:widowControl w:val="0"/>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auto"/>
          <w:kern w:val="0"/>
          <w:sz w:val="32"/>
          <w:szCs w:val="32"/>
          <w:lang w:val="en-US" w:eastAsia="zh-CN" w:bidi="ar-SA"/>
        </w:rPr>
      </w:pPr>
    </w:p>
    <w:p w14:paraId="6068B1AC">
      <w:pPr>
        <w:pStyle w:val="2"/>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321" w:firstLineChars="100"/>
        <w:textAlignment w:val="auto"/>
        <w:rPr>
          <w:rFonts w:hint="eastAsia" w:ascii="宋体" w:hAnsi="宋体" w:eastAsia="宋体" w:cs="宋体"/>
          <w:sz w:val="32"/>
          <w:szCs w:val="32"/>
          <w:lang w:val="en-US" w:eastAsia="zh-CN"/>
        </w:rPr>
      </w:pPr>
      <w:r>
        <w:rPr>
          <w:rFonts w:hint="eastAsia" w:ascii="宋体" w:hAnsi="宋体" w:eastAsia="宋体" w:cs="宋体"/>
          <w:color w:val="auto"/>
          <w:kern w:val="0"/>
          <w:sz w:val="32"/>
          <w:szCs w:val="32"/>
          <w:lang w:val="en-US" w:eastAsia="zh-CN" w:bidi="ar-SA"/>
        </w:rPr>
        <w:t>（二）</w:t>
      </w:r>
      <w:r>
        <w:rPr>
          <w:rFonts w:hint="eastAsia" w:ascii="宋体" w:hAnsi="宋体" w:eastAsia="宋体" w:cs="宋体"/>
          <w:kern w:val="0"/>
          <w:sz w:val="32"/>
          <w:szCs w:val="32"/>
          <w:lang w:val="en-US" w:eastAsia="zh-CN" w:bidi="ar-SA"/>
        </w:rPr>
        <w:t>技术要求：</w:t>
      </w:r>
    </w:p>
    <w:p w14:paraId="79E2E7E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1、电视新闻稿件必须为1分30秒以上，需要在市级及以上主流媒体播出。</w:t>
      </w:r>
    </w:p>
    <w:p w14:paraId="22D216F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2、图文稿件每篇需要500字以上，需在市级及以上主流媒体刊发。</w:t>
      </w:r>
    </w:p>
    <w:p w14:paraId="132C34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3、新媒体短视频需在市级及以上媒体平台刊发，总播放量不低于300万。</w:t>
      </w:r>
    </w:p>
    <w:p w14:paraId="35950B1C">
      <w:pPr>
        <w:keepNext w:val="0"/>
        <w:keepLines w:val="0"/>
        <w:pageBreakBefore w:val="0"/>
        <w:kinsoku/>
        <w:wordWrap/>
        <w:overflowPunct/>
        <w:topLinePunct w:val="0"/>
        <w:autoSpaceDE/>
        <w:autoSpaceDN/>
        <w:bidi w:val="0"/>
        <w:adjustRightInd/>
        <w:spacing w:beforeAutospacing="0" w:afterAutospacing="0" w:line="480" w:lineRule="exact"/>
        <w:ind w:firstLine="640" w:firstLineChars="20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4、</w:t>
      </w:r>
      <w:r>
        <w:rPr>
          <w:rFonts w:hint="eastAsia" w:ascii="宋体" w:hAnsi="宋体" w:eastAsia="宋体" w:cs="宋体"/>
          <w:color w:val="FF0000"/>
          <w:sz w:val="32"/>
          <w:szCs w:val="32"/>
          <w:lang w:val="en-US" w:eastAsia="zh-CN"/>
        </w:rPr>
        <w:t>专职人员需提供新闻相关专业初级及以上职称证书</w:t>
      </w:r>
      <w:r>
        <w:rPr>
          <w:rFonts w:hint="eastAsia" w:ascii="宋体" w:hAnsi="宋体" w:eastAsia="宋体" w:cs="宋体"/>
          <w:color w:val="auto"/>
          <w:sz w:val="32"/>
          <w:szCs w:val="32"/>
          <w:lang w:val="en-US" w:eastAsia="zh-CN"/>
        </w:rPr>
        <w:t>，专职人员每周工作时间需满5天，每天8小时工作制，特殊情况需依据医院工作时间予以调整。</w:t>
      </w:r>
    </w:p>
    <w:p w14:paraId="4D70635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5、全年大型活动要有直播、配备专业的主持人、摄像， 要按照专业宣传片制作标准制作高质量的宣传视频，在市级官方媒体推送等。</w:t>
      </w:r>
    </w:p>
    <w:p w14:paraId="35AAE37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6、直播服务每场不低于一个小时，有专业主持人主持，不低于三机位及网络直播平台支持。</w:t>
      </w:r>
    </w:p>
    <w:p w14:paraId="6D40797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7、视频专家访谈要求：全程参与节目策划、拍摄、制作，节目要求高质量，画质清晰，专业主持人主持。</w:t>
      </w:r>
    </w:p>
    <w:p w14:paraId="0BA1893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8、省级以上媒体推送，必须为官方媒体。</w:t>
      </w:r>
    </w:p>
    <w:p w14:paraId="44678E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FF0000"/>
          <w:sz w:val="32"/>
          <w:szCs w:val="32"/>
          <w:lang w:val="en-US" w:eastAsia="zh-CN"/>
        </w:rPr>
      </w:pPr>
      <w:r>
        <w:rPr>
          <w:rFonts w:hint="eastAsia" w:ascii="宋体" w:hAnsi="宋体" w:eastAsia="宋体" w:cs="宋体"/>
          <w:color w:val="auto"/>
          <w:sz w:val="32"/>
          <w:szCs w:val="32"/>
          <w:lang w:val="en-US" w:eastAsia="zh-CN"/>
        </w:rPr>
        <w:t>9、联合开展社区义诊，在市级及以上媒体平台推送。</w:t>
      </w:r>
    </w:p>
    <w:p w14:paraId="1D45C93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 xml:space="preserve">10、所有视频应支持高清分辨率（如1080P或更高，甚至4K）格式上，建议使用常见的视频编码格式（如H.264/AVC等），以确保兼容性。 </w:t>
      </w:r>
    </w:p>
    <w:p w14:paraId="07D300C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11、要求</w:t>
      </w:r>
      <w:r>
        <w:rPr>
          <w:rFonts w:hint="eastAsia" w:ascii="宋体" w:hAnsi="宋体" w:eastAsia="宋体" w:cs="宋体"/>
          <w:color w:val="FF0000"/>
          <w:sz w:val="32"/>
          <w:szCs w:val="32"/>
          <w:lang w:val="en-US" w:eastAsia="zh-CN"/>
        </w:rPr>
        <w:t>有专业的摄像设备（如高清摄像机、单反、无人机、话筒或小蜜蜂等）</w:t>
      </w:r>
      <w:r>
        <w:rPr>
          <w:rFonts w:hint="eastAsia" w:ascii="宋体" w:hAnsi="宋体" w:eastAsia="宋体" w:cs="宋体"/>
          <w:color w:val="auto"/>
          <w:sz w:val="32"/>
          <w:szCs w:val="32"/>
          <w:lang w:val="en-US" w:eastAsia="zh-CN"/>
        </w:rPr>
        <w:t xml:space="preserve">，以捕捉高质量的影像素材。 </w:t>
      </w:r>
    </w:p>
    <w:p w14:paraId="1472895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jc w:val="left"/>
        <w:textAlignment w:val="auto"/>
        <w:rPr>
          <w:rFonts w:hint="eastAsia" w:ascii="宋体" w:hAnsi="宋体" w:eastAsia="宋体" w:cs="宋体"/>
          <w:color w:val="FF0000"/>
          <w:kern w:val="0"/>
          <w:sz w:val="32"/>
          <w:szCs w:val="32"/>
          <w:lang w:val="en-US" w:eastAsia="zh-CN" w:bidi="ar-SA"/>
        </w:rPr>
      </w:pPr>
      <w:r>
        <w:rPr>
          <w:rFonts w:hint="eastAsia" w:ascii="宋体" w:hAnsi="宋体" w:eastAsia="宋体" w:cs="宋体"/>
          <w:color w:val="auto"/>
          <w:sz w:val="32"/>
          <w:szCs w:val="32"/>
          <w:lang w:val="en-US" w:eastAsia="zh-CN"/>
        </w:rPr>
        <w:t>12、要求具备专业的视频剪辑和后期制作能力，包括剪辑软件（如Adobe Premiere Pro、AE等）的熟练运用。</w:t>
      </w:r>
    </w:p>
    <w:p w14:paraId="5FECCC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3" w:firstLineChars="200"/>
        <w:jc w:val="left"/>
        <w:textAlignment w:val="auto"/>
        <w:rPr>
          <w:rFonts w:hint="eastAsia" w:ascii="宋体" w:hAnsi="宋体" w:eastAsia="宋体" w:cs="宋体"/>
          <w:color w:val="FF0000"/>
          <w:sz w:val="32"/>
          <w:szCs w:val="32"/>
          <w:lang w:val="en-US" w:eastAsia="zh-CN"/>
        </w:rPr>
      </w:pPr>
      <w:r>
        <w:rPr>
          <w:rFonts w:hint="eastAsia" w:ascii="宋体" w:hAnsi="宋体" w:eastAsia="宋体" w:cs="宋体"/>
          <w:b/>
          <w:bCs/>
          <w:color w:val="auto"/>
          <w:sz w:val="32"/>
          <w:szCs w:val="32"/>
          <w:lang w:val="en-US" w:eastAsia="zh-CN"/>
        </w:rPr>
        <w:t>（三）</w:t>
      </w:r>
      <w:r>
        <w:rPr>
          <w:rFonts w:hint="eastAsia" w:ascii="宋体" w:hAnsi="宋体" w:eastAsia="宋体" w:cs="宋体"/>
          <w:color w:val="auto"/>
          <w:sz w:val="32"/>
          <w:szCs w:val="32"/>
          <w:lang w:val="en-US" w:eastAsia="zh-CN"/>
        </w:rPr>
        <w:t>有投标意向的供应商需在竞价公告发出后进行</w:t>
      </w:r>
      <w:r>
        <w:rPr>
          <w:rFonts w:hint="eastAsia" w:ascii="宋体" w:hAnsi="宋体" w:eastAsia="宋体" w:cs="宋体"/>
          <w:color w:val="FF0000"/>
          <w:sz w:val="32"/>
          <w:szCs w:val="32"/>
          <w:highlight w:val="yellow"/>
          <w:lang w:val="en-US" w:eastAsia="zh-CN"/>
        </w:rPr>
        <w:t>现场沟通</w:t>
      </w:r>
      <w:r>
        <w:rPr>
          <w:rFonts w:hint="eastAsia" w:ascii="宋体" w:hAnsi="宋体" w:eastAsia="宋体" w:cs="宋体"/>
          <w:color w:val="auto"/>
          <w:sz w:val="32"/>
          <w:szCs w:val="32"/>
          <w:lang w:val="en-US" w:eastAsia="zh-CN"/>
        </w:rPr>
        <w:t>，了解项目详细服务需求，并</w:t>
      </w:r>
      <w:r>
        <w:rPr>
          <w:rFonts w:hint="eastAsia" w:ascii="宋体" w:hAnsi="宋体" w:eastAsia="宋体" w:cs="宋体"/>
          <w:color w:val="FF0000"/>
          <w:sz w:val="32"/>
          <w:szCs w:val="32"/>
          <w:highlight w:val="yellow"/>
          <w:lang w:val="en-US" w:eastAsia="zh-CN"/>
        </w:rPr>
        <w:t>提交方案</w:t>
      </w:r>
      <w:r>
        <w:rPr>
          <w:rFonts w:hint="eastAsia" w:ascii="宋体" w:hAnsi="宋体" w:eastAsia="宋体" w:cs="宋体"/>
          <w:color w:val="auto"/>
          <w:sz w:val="32"/>
          <w:szCs w:val="32"/>
          <w:lang w:val="en-US" w:eastAsia="zh-CN"/>
        </w:rPr>
        <w:t>，方可参与竞价，不具备资质、相关证明材料、无现场实地勘察参与竞标或报价明显低于成本的供应商视为恶劣竞争，采购人有权废标并重新开展竞价活动，同时将上报政府采购监督部门并追究相关责任予以处罚。</w:t>
      </w:r>
    </w:p>
    <w:p w14:paraId="6054EACE">
      <w:pPr>
        <w:pStyle w:val="7"/>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480" w:lineRule="exact"/>
        <w:ind w:leftChars="0" w:firstLine="643" w:firstLineChars="200"/>
        <w:jc w:val="both"/>
        <w:textAlignment w:val="auto"/>
        <w:rPr>
          <w:rFonts w:hint="eastAsia" w:ascii="宋体" w:hAnsi="宋体" w:eastAsia="宋体" w:cs="宋体"/>
          <w:b/>
          <w:bCs/>
          <w:sz w:val="32"/>
          <w:szCs w:val="32"/>
          <w:lang w:val="en-US" w:eastAsia="zh-CN"/>
        </w:rPr>
      </w:pPr>
      <w:r>
        <w:rPr>
          <w:rFonts w:hint="eastAsia" w:cs="宋体"/>
          <w:b/>
          <w:bCs/>
          <w:sz w:val="32"/>
          <w:szCs w:val="32"/>
          <w:lang w:val="en-US" w:eastAsia="zh-CN"/>
        </w:rPr>
        <w:t>三</w:t>
      </w:r>
      <w:r>
        <w:rPr>
          <w:rFonts w:hint="eastAsia" w:ascii="宋体" w:hAnsi="宋体" w:eastAsia="宋体" w:cs="宋体"/>
          <w:b/>
          <w:bCs/>
          <w:sz w:val="32"/>
          <w:szCs w:val="32"/>
          <w:lang w:val="en-US" w:eastAsia="zh-CN"/>
        </w:rPr>
        <w:t>、商务要求</w:t>
      </w:r>
    </w:p>
    <w:p w14:paraId="2A7FA667">
      <w:pPr>
        <w:pStyle w:val="7"/>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480" w:lineRule="exact"/>
        <w:ind w:leftChars="0"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合同签订时间：自成交通知发出之日起</w:t>
      </w:r>
      <w:r>
        <w:rPr>
          <w:rFonts w:hint="eastAsia" w:cs="宋体"/>
          <w:sz w:val="32"/>
          <w:szCs w:val="32"/>
          <w:lang w:val="en-US" w:eastAsia="zh-CN"/>
        </w:rPr>
        <w:t>三十</w:t>
      </w:r>
      <w:r>
        <w:rPr>
          <w:rFonts w:hint="eastAsia" w:ascii="宋体" w:hAnsi="宋体" w:eastAsia="宋体" w:cs="宋体"/>
          <w:sz w:val="32"/>
          <w:szCs w:val="32"/>
          <w:lang w:val="en-US" w:eastAsia="zh-CN"/>
        </w:rPr>
        <w:t>日内。</w:t>
      </w:r>
    </w:p>
    <w:p w14:paraId="2FBF7AF3">
      <w:pPr>
        <w:pStyle w:val="7"/>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480" w:lineRule="exact"/>
        <w:ind w:leftChars="0" w:firstLine="640" w:firstLineChars="20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服务地点：</w:t>
      </w:r>
      <w:r>
        <w:rPr>
          <w:rFonts w:hint="eastAsia" w:cs="宋体"/>
          <w:sz w:val="32"/>
          <w:szCs w:val="32"/>
          <w:lang w:val="en-US" w:eastAsia="zh-CN"/>
        </w:rPr>
        <w:t>驻马店市中医院</w:t>
      </w:r>
    </w:p>
    <w:p w14:paraId="6558836C">
      <w:pPr>
        <w:pStyle w:val="7"/>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480" w:lineRule="exact"/>
        <w:ind w:leftChars="0"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服务期限：自</w:t>
      </w:r>
      <w:r>
        <w:rPr>
          <w:rFonts w:hint="eastAsia" w:cs="宋体"/>
          <w:sz w:val="32"/>
          <w:szCs w:val="32"/>
          <w:lang w:val="en-US" w:eastAsia="zh-CN"/>
        </w:rPr>
        <w:t>协议</w:t>
      </w:r>
      <w:r>
        <w:rPr>
          <w:rFonts w:hint="eastAsia" w:ascii="宋体" w:hAnsi="宋体" w:eastAsia="宋体" w:cs="宋体"/>
          <w:sz w:val="32"/>
          <w:szCs w:val="32"/>
          <w:lang w:val="en-US" w:eastAsia="zh-CN"/>
        </w:rPr>
        <w:t>签订之日起1年。</w:t>
      </w:r>
    </w:p>
    <w:p w14:paraId="6A73D65A">
      <w:pPr>
        <w:pStyle w:val="7"/>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480" w:lineRule="exact"/>
        <w:ind w:leftChars="0"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质量要求：符合国家现行规定的质量标准和技术要求。</w:t>
      </w:r>
    </w:p>
    <w:p w14:paraId="24B9CA51">
      <w:pPr>
        <w:pStyle w:val="7"/>
        <w:keepNext w:val="0"/>
        <w:keepLines w:val="0"/>
        <w:pageBreakBefore w:val="0"/>
        <w:numPr>
          <w:ilvl w:val="0"/>
          <w:numId w:val="0"/>
        </w:numPr>
        <w:shd w:val="clear" w:color="auto" w:fill="FFFFFF"/>
        <w:tabs>
          <w:tab w:val="left" w:pos="377"/>
        </w:tabs>
        <w:kinsoku/>
        <w:wordWrap/>
        <w:overflowPunct/>
        <w:topLinePunct w:val="0"/>
        <w:autoSpaceDE/>
        <w:autoSpaceDN/>
        <w:bidi w:val="0"/>
        <w:adjustRightInd/>
        <w:spacing w:before="0" w:beforeAutospacing="0" w:after="0" w:afterAutospacing="0" w:line="48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付款方式：协议签订后，甲方在半年期</w:t>
      </w:r>
      <w:r>
        <w:rPr>
          <w:rFonts w:hint="eastAsia" w:cs="宋体"/>
          <w:sz w:val="32"/>
          <w:szCs w:val="32"/>
          <w:lang w:val="en-US" w:eastAsia="zh-CN"/>
        </w:rPr>
        <w:t>满后</w:t>
      </w:r>
      <w:r>
        <w:rPr>
          <w:rFonts w:hint="eastAsia" w:ascii="宋体" w:hAnsi="宋体" w:eastAsia="宋体" w:cs="宋体"/>
          <w:sz w:val="32"/>
          <w:szCs w:val="32"/>
          <w:lang w:val="en-US" w:eastAsia="zh-CN"/>
        </w:rPr>
        <w:t>支付50%的协议费用;合同结束后一个月内，再支付</w:t>
      </w:r>
      <w:r>
        <w:rPr>
          <w:rFonts w:hint="eastAsia" w:cs="宋体"/>
          <w:sz w:val="32"/>
          <w:szCs w:val="32"/>
          <w:lang w:val="en-US" w:eastAsia="zh-CN"/>
        </w:rPr>
        <w:t>合同金额的50%</w:t>
      </w:r>
      <w:r>
        <w:rPr>
          <w:rFonts w:hint="eastAsia" w:ascii="宋体" w:hAnsi="宋体" w:eastAsia="宋体" w:cs="宋体"/>
          <w:sz w:val="32"/>
          <w:szCs w:val="32"/>
          <w:lang w:val="en-US" w:eastAsia="zh-CN"/>
        </w:rPr>
        <w:t>。以签订合同为准。</w:t>
      </w:r>
    </w:p>
    <w:p w14:paraId="73BD6B98">
      <w:pPr>
        <w:pStyle w:val="7"/>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480" w:lineRule="exact"/>
        <w:ind w:leftChars="0"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其他要求：</w:t>
      </w:r>
    </w:p>
    <w:p w14:paraId="54FEF449">
      <w:pPr>
        <w:pStyle w:val="7"/>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480" w:lineRule="exact"/>
        <w:ind w:leftChars="0"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所有稿件必须在驻马店官方新闻媒体及网站播出。</w:t>
      </w:r>
    </w:p>
    <w:p w14:paraId="1D9A91D4">
      <w:pPr>
        <w:pStyle w:val="7"/>
        <w:keepNext w:val="0"/>
        <w:keepLines w:val="0"/>
        <w:pageBreakBefore w:val="0"/>
        <w:numPr>
          <w:ilvl w:val="0"/>
          <w:numId w:val="0"/>
        </w:numPr>
        <w:shd w:val="clear" w:color="auto" w:fill="FFFFFF"/>
        <w:kinsoku/>
        <w:wordWrap/>
        <w:overflowPunct/>
        <w:topLinePunct w:val="0"/>
        <w:autoSpaceDE/>
        <w:autoSpaceDN/>
        <w:bidi w:val="0"/>
        <w:adjustRightInd/>
        <w:spacing w:before="0" w:beforeAutospacing="0" w:after="0" w:afterAutospacing="0" w:line="480" w:lineRule="exact"/>
        <w:ind w:leftChars="0" w:firstLine="640" w:firstLineChars="200"/>
        <w:jc w:val="both"/>
        <w:textAlignment w:val="auto"/>
        <w:rPr>
          <w:rFonts w:hint="eastAsia" w:ascii="宋体" w:hAnsi="宋体" w:eastAsia="宋体" w:cs="宋体"/>
          <w:color w:val="FF0000"/>
          <w:sz w:val="32"/>
          <w:szCs w:val="32"/>
          <w:highlight w:val="yellow"/>
          <w:lang w:val="en-US" w:eastAsia="zh-CN"/>
        </w:rPr>
      </w:pPr>
      <w:r>
        <w:rPr>
          <w:rFonts w:hint="eastAsia" w:ascii="宋体" w:hAnsi="宋体" w:eastAsia="宋体" w:cs="宋体"/>
          <w:color w:val="FF0000"/>
          <w:sz w:val="32"/>
          <w:szCs w:val="32"/>
          <w:highlight w:val="yellow"/>
          <w:lang w:val="en-US" w:eastAsia="zh-CN"/>
        </w:rPr>
        <w:t>本项目需要现场沟通，请自行前往，请将附件内所需资质+勘察回执单+方案发送至采购办邮箱，并附上联系方式，谢谢。邮箱：zyyzbb2014@163.com，不发送视为无效竞价。</w:t>
      </w:r>
      <w:bookmarkStart w:id="0" w:name="_GoBack"/>
      <w:bookmarkEnd w:id="0"/>
    </w:p>
    <w:sectPr>
      <w:pgSz w:w="11906" w:h="16838"/>
      <w:pgMar w:top="1270" w:right="1463" w:bottom="127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YjJiZTQzMWZkYzkzMDY4MGMwODg2MmJjNWNiMjQifQ=="/>
  </w:docVars>
  <w:rsids>
    <w:rsidRoot w:val="4948794F"/>
    <w:rsid w:val="01FD7ABD"/>
    <w:rsid w:val="02FB6CDA"/>
    <w:rsid w:val="034427A6"/>
    <w:rsid w:val="085F163F"/>
    <w:rsid w:val="0BE564B2"/>
    <w:rsid w:val="0F576F7A"/>
    <w:rsid w:val="14641C7C"/>
    <w:rsid w:val="157E2C40"/>
    <w:rsid w:val="1D970CFC"/>
    <w:rsid w:val="1E8D4312"/>
    <w:rsid w:val="1F301CDB"/>
    <w:rsid w:val="20147800"/>
    <w:rsid w:val="202A22FB"/>
    <w:rsid w:val="210C6483"/>
    <w:rsid w:val="226B2757"/>
    <w:rsid w:val="259D78E3"/>
    <w:rsid w:val="27534EB3"/>
    <w:rsid w:val="288F308A"/>
    <w:rsid w:val="2B357B3E"/>
    <w:rsid w:val="2C3F44FD"/>
    <w:rsid w:val="2F896B51"/>
    <w:rsid w:val="32E53E60"/>
    <w:rsid w:val="337D1876"/>
    <w:rsid w:val="339F3018"/>
    <w:rsid w:val="36890794"/>
    <w:rsid w:val="374446F2"/>
    <w:rsid w:val="38F30E76"/>
    <w:rsid w:val="47AD0F98"/>
    <w:rsid w:val="47D30815"/>
    <w:rsid w:val="4948794F"/>
    <w:rsid w:val="4B5F0ED0"/>
    <w:rsid w:val="4D9D1381"/>
    <w:rsid w:val="4E77312C"/>
    <w:rsid w:val="4F061DBB"/>
    <w:rsid w:val="534E5504"/>
    <w:rsid w:val="539A2049"/>
    <w:rsid w:val="53AC1956"/>
    <w:rsid w:val="566043C2"/>
    <w:rsid w:val="599B2182"/>
    <w:rsid w:val="5CEF2807"/>
    <w:rsid w:val="602045A6"/>
    <w:rsid w:val="67356031"/>
    <w:rsid w:val="6775313E"/>
    <w:rsid w:val="68C931D1"/>
    <w:rsid w:val="694B7418"/>
    <w:rsid w:val="6C3410B5"/>
    <w:rsid w:val="6C9940B9"/>
    <w:rsid w:val="6D175D26"/>
    <w:rsid w:val="6E5418B1"/>
    <w:rsid w:val="7121365B"/>
    <w:rsid w:val="71AA0283"/>
    <w:rsid w:val="72C42B97"/>
    <w:rsid w:val="73ED0D89"/>
    <w:rsid w:val="74CE13B1"/>
    <w:rsid w:val="77AB595B"/>
    <w:rsid w:val="7ACC2F08"/>
    <w:rsid w:val="7AE8203B"/>
    <w:rsid w:val="7E46170B"/>
    <w:rsid w:val="7F234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semiHidden/>
    <w:unhideWhenUsed/>
    <w:qFormat/>
    <w:uiPriority w:val="99"/>
    <w:pPr>
      <w:spacing w:after="120"/>
    </w:pPr>
  </w:style>
  <w:style w:type="paragraph" w:styleId="4">
    <w:name w:val="Body Text Indent"/>
    <w:basedOn w:val="1"/>
    <w:next w:val="5"/>
    <w:qFormat/>
    <w:uiPriority w:val="0"/>
    <w:pPr>
      <w:widowControl/>
      <w:spacing w:beforeAutospacing="1" w:afterAutospacing="1"/>
      <w:jc w:val="left"/>
    </w:pPr>
    <w:rPr>
      <w:rFonts w:ascii="宋体" w:hAnsi="宋体" w:cs="宋体"/>
      <w:kern w:val="0"/>
      <w:sz w:val="24"/>
    </w:rPr>
  </w:style>
  <w:style w:type="paragraph" w:styleId="5">
    <w:name w:val="envelope return"/>
    <w:basedOn w:val="1"/>
    <w:unhideWhenUsed/>
    <w:qFormat/>
    <w:uiPriority w:val="99"/>
    <w:pPr>
      <w:snapToGrid w:val="0"/>
    </w:pPr>
    <w:rPr>
      <w:rFonts w:ascii="Arial" w:hAnsi="Arial"/>
    </w:rPr>
  </w:style>
  <w:style w:type="paragraph" w:styleId="6">
    <w:name w:val="Body Text 2"/>
    <w:basedOn w:val="1"/>
    <w:next w:val="3"/>
    <w:qFormat/>
    <w:uiPriority w:val="0"/>
    <w:pPr>
      <w:spacing w:after="120" w:line="480" w:lineRule="auto"/>
      <w:ind w:firstLine="560" w:firstLineChars="200"/>
    </w:pPr>
    <w:rPr>
      <w:rFonts w:ascii="Calibri" w:hAnsi="Calibri" w:eastAsia="仿宋_GB2312"/>
      <w:sz w:val="28"/>
      <w:szCs w:val="24"/>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3"/>
    <w:qFormat/>
    <w:uiPriority w:val="99"/>
    <w:pPr>
      <w:ind w:firstLine="420" w:firstLineChars="200"/>
    </w:pPr>
    <w:rPr>
      <w:rFonts w:ascii="Times New Roman" w:hAnsi="Times New Roman" w:eastAsia="宋体" w:cs="Times New Roman"/>
      <w:sz w:val="32"/>
      <w:szCs w:val="20"/>
    </w:r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1569</Words>
  <Characters>1614</Characters>
  <Lines>0</Lines>
  <Paragraphs>0</Paragraphs>
  <TotalTime>4</TotalTime>
  <ScaleCrop>false</ScaleCrop>
  <LinksUpToDate>false</LinksUpToDate>
  <CharactersWithSpaces>1654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2023-07-27T08:57:00Z</dcterms:created>
  <dc:creator>驻马店市中医院招标办</dc:creator>
  <cp:lastModifiedBy>驻马店市中医院招标办</cp:lastModifiedBy>
  <cp:lastPrinted>2026-05-21T01:57:00Z</cp:lastPrinted>
  <dcterms:modified xsi:type="dcterms:W3CDTF">2026-07-24T08:13:14Z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674E3A2E1E12433C852E69707A70893D_13</vt:lpwstr>
  </property>
  <property fmtid="{D5CDD505-2E9C-101B-9397-08002B2CF9AE}" pid="4" name="KSOTemplateDocerSaveRecord">
    <vt:lpwstr>eyJoZGlkIjoiYzAyZmVkN2UzYzJlNWUwZDVkODczYTBmM2VlOTcwOWMiLCJ1c2VySWQiOiIxMTM3NDM2MzI0In0=</vt:lpwstr>
  </property>
</Properties>
</file>