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66DC7">
      <w:pPr>
        <w:numPr>
          <w:ilvl w:val="0"/>
          <w:numId w:val="1"/>
        </w:num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具备有效的营业执照。</w:t>
      </w:r>
    </w:p>
    <w:p w14:paraId="090CC0FA">
      <w:pPr>
        <w:numPr>
          <w:ilvl w:val="0"/>
          <w:numId w:val="1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报价人需具备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相应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资信证书。</w:t>
      </w:r>
    </w:p>
    <w:p w14:paraId="046BC596">
      <w:pPr>
        <w:numPr>
          <w:ilvl w:val="0"/>
          <w:numId w:val="1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拟派项目负责人具有咨询工程师（投资）登记证书。</w:t>
      </w:r>
    </w:p>
    <w:p w14:paraId="3822C901">
      <w:pPr>
        <w:numPr>
          <w:ilvl w:val="0"/>
          <w:numId w:val="1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根据《关于在政府采购活动中查询及使用信用记录有关问题的通知》（财库[2016]125号）的规定，对列入失信被执行人、重大税收违法案件当事人名单、政府采购严重违法失信行为记录名单的供应商，拒绝参与本项目政府采购活动。</w:t>
      </w:r>
      <w:bookmarkStart w:id="0" w:name="_GoBack"/>
      <w:bookmarkEnd w:id="0"/>
    </w:p>
    <w:p w14:paraId="5F4C2192">
      <w:pPr>
        <w:numPr>
          <w:ilvl w:val="0"/>
          <w:numId w:val="1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报价前请联系业主单位，项目负责人携带公司相关资质、证件勘察现场，了解项目情况后方可报价，否则报价无效。倡导合理价中标，报价明显低于成本的供应商视为恶意竞争，有可能影响项目质量或不能诚信履约的，作为无效竞标价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30F52D8-7256-4C8D-8501-A3CD9E53FD6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B32CA9"/>
    <w:multiLevelType w:val="singleLevel"/>
    <w:tmpl w:val="C3B32CA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68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2026-07-23T01:58:35Z</dcterms:created>
  <dc:creator>Administrator</dc:creator>
  <cp:lastModifiedBy>天涯</cp:lastModifiedBy>
  <dcterms:modified xsi:type="dcterms:W3CDTF">2026-07-23T02:00:08Z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eyJoZGlkIjoiMzkzMjg2ODk2Y2EzMTY5OTJiYzFlNjlhNGQxNjE5N2UiLCJ1c2VySWQiOiIyNzM0MjgzOTkifQ==</vt:lpwstr>
  </property>
  <property fmtid="{D5CDD505-2E9C-101B-9397-08002B2CF9AE}" pid="4" name="ICV">
    <vt:lpwstr>6C08A872E8124CCA91ACA568E86D92F5_12</vt:lpwstr>
  </property>
</Properties>
</file>