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15" w:lineRule="atLeast"/>
        <w:jc w:val="center"/>
        <w:rPr>
          <w:rFonts w:ascii="宋体" w:hAnsi="宋体" w:eastAsia="宋体" w:cs="Calibri"/>
          <w:kern w:val="0"/>
          <w:sz w:val="32"/>
          <w:szCs w:val="32"/>
        </w:rPr>
      </w:pPr>
    </w:p>
    <w:p>
      <w:pPr>
        <w:widowControl/>
        <w:spacing w:line="315" w:lineRule="atLeast"/>
        <w:jc w:val="center"/>
        <w:rPr>
          <w:rFonts w:ascii="宋体" w:hAnsi="宋体" w:eastAsia="宋体" w:cs="Calibri"/>
          <w:kern w:val="0"/>
          <w:sz w:val="32"/>
          <w:szCs w:val="32"/>
        </w:rPr>
      </w:pPr>
      <w:r>
        <w:rPr>
          <w:rFonts w:hint="eastAsia" w:ascii="宋体" w:hAnsi="宋体" w:eastAsia="宋体" w:cs="Calibri"/>
          <w:kern w:val="0"/>
          <w:sz w:val="32"/>
          <w:szCs w:val="32"/>
        </w:rPr>
        <w:t>遂平县人民检察院</w:t>
      </w:r>
      <w:r>
        <w:rPr>
          <w:rFonts w:hint="eastAsia" w:ascii="宋体" w:hAnsi="宋体" w:eastAsia="宋体" w:cs="Calibri"/>
          <w:kern w:val="0"/>
          <w:sz w:val="32"/>
          <w:szCs w:val="32"/>
          <w:lang w:val="en-US" w:eastAsia="zh-CN"/>
        </w:rPr>
        <w:t>非涉密</w:t>
      </w:r>
      <w:r>
        <w:rPr>
          <w:rFonts w:hint="eastAsia" w:ascii="宋体" w:hAnsi="宋体" w:eastAsia="宋体" w:cs="Calibri"/>
          <w:kern w:val="0"/>
          <w:sz w:val="32"/>
          <w:szCs w:val="32"/>
        </w:rPr>
        <w:t>系统及相关设备驻场维护服务</w:t>
      </w:r>
    </w:p>
    <w:p>
      <w:pPr>
        <w:widowControl/>
        <w:spacing w:line="315" w:lineRule="atLeast"/>
        <w:jc w:val="center"/>
        <w:rPr>
          <w:rFonts w:ascii="宋体" w:hAnsi="宋体" w:eastAsia="宋体" w:cs="Calibri"/>
          <w:kern w:val="0"/>
          <w:sz w:val="32"/>
          <w:szCs w:val="32"/>
        </w:rPr>
      </w:pPr>
    </w:p>
    <w:p>
      <w:pPr>
        <w:spacing w:line="560" w:lineRule="exact"/>
        <w:ind w:firstLine="562" w:firstLineChars="200"/>
        <w:outlineLvl w:val="1"/>
        <w:rPr>
          <w:rFonts w:ascii="宋体" w:hAnsi="宋体" w:eastAsia="宋体" w:cs="宋体"/>
          <w:b/>
          <w:bCs/>
          <w:color w:val="000000" w:themeColor="text1"/>
          <w:kern w:val="0"/>
          <w:sz w:val="28"/>
          <w:szCs w:val="28"/>
        </w:rPr>
      </w:pPr>
      <w:r>
        <w:rPr>
          <w:rFonts w:hint="eastAsia" w:ascii="宋体" w:hAnsi="宋体" w:eastAsia="宋体" w:cs="宋体"/>
          <w:b/>
          <w:bCs/>
          <w:color w:val="000000" w:themeColor="text1"/>
          <w:kern w:val="0"/>
          <w:sz w:val="28"/>
          <w:szCs w:val="28"/>
        </w:rPr>
        <w:t>（一）供应商须提供的资质要求</w:t>
      </w:r>
    </w:p>
    <w:p>
      <w:pPr>
        <w:spacing w:line="560" w:lineRule="exact"/>
        <w:ind w:firstLine="560" w:firstLineChars="200"/>
        <w:rPr>
          <w:rFonts w:ascii="宋体" w:hAnsi="宋体" w:eastAsia="宋体" w:cs="宋体"/>
          <w:color w:val="000000" w:themeColor="text1"/>
          <w:kern w:val="0"/>
          <w:sz w:val="28"/>
          <w:szCs w:val="28"/>
        </w:rPr>
      </w:pPr>
      <w:r>
        <w:rPr>
          <w:rFonts w:hint="eastAsia" w:ascii="宋体" w:hAnsi="宋体" w:eastAsia="宋体" w:cs="宋体"/>
          <w:color w:val="000000" w:themeColor="text1"/>
          <w:kern w:val="0"/>
          <w:sz w:val="28"/>
          <w:szCs w:val="28"/>
        </w:rPr>
        <w:t>具备《中华人民共和国政府采购法》第二十二条规定的条件：</w:t>
      </w:r>
    </w:p>
    <w:p>
      <w:pPr>
        <w:widowControl/>
        <w:spacing w:line="560" w:lineRule="exact"/>
        <w:ind w:firstLine="560" w:firstLineChars="200"/>
        <w:jc w:val="left"/>
        <w:rPr>
          <w:rFonts w:ascii="宋体" w:hAnsi="宋体" w:eastAsia="宋体" w:cs="宋体"/>
          <w:color w:val="000000" w:themeColor="text1"/>
          <w:kern w:val="0"/>
          <w:sz w:val="28"/>
          <w:szCs w:val="28"/>
        </w:rPr>
      </w:pPr>
      <w:r>
        <w:rPr>
          <w:rFonts w:hint="eastAsia" w:ascii="宋体" w:hAnsi="宋体" w:eastAsia="宋体" w:cs="宋体"/>
          <w:color w:val="000000" w:themeColor="text1"/>
          <w:kern w:val="0"/>
          <w:sz w:val="28"/>
          <w:szCs w:val="28"/>
        </w:rPr>
        <w:t xml:space="preserve">1.具有独立承担民事责任的能力（提供营业执照复印件） </w:t>
      </w:r>
    </w:p>
    <w:p>
      <w:pPr>
        <w:widowControl/>
        <w:spacing w:line="560" w:lineRule="exact"/>
        <w:ind w:firstLine="560" w:firstLineChars="200"/>
        <w:jc w:val="left"/>
        <w:rPr>
          <w:rFonts w:ascii="宋体" w:hAnsi="宋体" w:eastAsia="宋体" w:cs="宋体"/>
          <w:color w:val="000000" w:themeColor="text1"/>
          <w:kern w:val="0"/>
          <w:sz w:val="28"/>
          <w:szCs w:val="28"/>
        </w:rPr>
      </w:pPr>
      <w:r>
        <w:rPr>
          <w:rFonts w:hint="eastAsia" w:ascii="宋体" w:hAnsi="宋体" w:eastAsia="宋体" w:cs="宋体"/>
          <w:color w:val="000000" w:themeColor="text1"/>
          <w:kern w:val="0"/>
          <w:sz w:val="28"/>
          <w:szCs w:val="28"/>
        </w:rPr>
        <w:t>2.具有良好的商业信誉和健全的财务会计制度（提供承诺）</w:t>
      </w:r>
    </w:p>
    <w:p>
      <w:pPr>
        <w:widowControl/>
        <w:spacing w:line="560" w:lineRule="exact"/>
        <w:ind w:firstLine="560" w:firstLineChars="200"/>
        <w:jc w:val="left"/>
        <w:rPr>
          <w:rFonts w:ascii="宋体" w:hAnsi="宋体" w:eastAsia="宋体" w:cs="宋体"/>
          <w:color w:val="000000" w:themeColor="text1"/>
          <w:kern w:val="0"/>
          <w:sz w:val="28"/>
          <w:szCs w:val="28"/>
        </w:rPr>
      </w:pPr>
      <w:r>
        <w:rPr>
          <w:rFonts w:hint="eastAsia" w:ascii="宋体" w:hAnsi="宋体" w:eastAsia="宋体" w:cs="宋体"/>
          <w:color w:val="000000" w:themeColor="text1"/>
          <w:kern w:val="0"/>
          <w:sz w:val="28"/>
          <w:szCs w:val="28"/>
        </w:rPr>
        <w:t xml:space="preserve">3.具有履行合同所必需的设备和专业技术能力（提供承诺） </w:t>
      </w:r>
    </w:p>
    <w:p>
      <w:pPr>
        <w:widowControl/>
        <w:spacing w:line="560" w:lineRule="exact"/>
        <w:ind w:firstLine="560" w:firstLineChars="200"/>
        <w:jc w:val="left"/>
        <w:rPr>
          <w:rFonts w:ascii="宋体" w:hAnsi="宋体" w:eastAsia="宋体" w:cs="宋体"/>
          <w:color w:val="000000" w:themeColor="text1"/>
          <w:kern w:val="0"/>
          <w:sz w:val="28"/>
          <w:szCs w:val="28"/>
        </w:rPr>
      </w:pPr>
      <w:r>
        <w:rPr>
          <w:rFonts w:hint="eastAsia" w:ascii="宋体" w:hAnsi="宋体" w:eastAsia="宋体" w:cs="宋体"/>
          <w:color w:val="000000" w:themeColor="text1"/>
          <w:kern w:val="0"/>
          <w:sz w:val="28"/>
          <w:szCs w:val="28"/>
        </w:rPr>
        <w:t>4.有依法缴纳税收和社会保障资金的良好记录（提供承诺）</w:t>
      </w:r>
    </w:p>
    <w:p>
      <w:pPr>
        <w:widowControl/>
        <w:spacing w:line="560" w:lineRule="exact"/>
        <w:ind w:firstLine="560" w:firstLineChars="200"/>
        <w:jc w:val="left"/>
        <w:rPr>
          <w:rFonts w:ascii="宋体" w:hAnsi="宋体" w:eastAsia="宋体" w:cs="宋体"/>
          <w:color w:val="000000" w:themeColor="text1"/>
          <w:sz w:val="28"/>
          <w:szCs w:val="28"/>
        </w:rPr>
      </w:pPr>
      <w:r>
        <w:rPr>
          <w:rFonts w:hint="eastAsia" w:ascii="宋体" w:hAnsi="宋体" w:eastAsia="宋体" w:cs="宋体"/>
          <w:color w:val="000000" w:themeColor="text1"/>
          <w:sz w:val="28"/>
          <w:szCs w:val="28"/>
        </w:rPr>
        <w:t>5.供应商须提供参加本项目采购活动前三年内，在经营活动中没有重大违法记录的书面声明。</w:t>
      </w:r>
    </w:p>
    <w:p>
      <w:pPr>
        <w:spacing w:line="560" w:lineRule="exact"/>
        <w:ind w:firstLine="560" w:firstLineChars="200"/>
        <w:rPr>
          <w:rFonts w:ascii="宋体" w:hAnsi="宋体" w:eastAsia="宋体" w:cs="宋体"/>
          <w:color w:val="000000" w:themeColor="text1"/>
          <w:sz w:val="28"/>
          <w:szCs w:val="28"/>
        </w:rPr>
      </w:pPr>
      <w:r>
        <w:rPr>
          <w:rFonts w:hint="eastAsia" w:ascii="宋体" w:hAnsi="宋体" w:eastAsia="宋体" w:cs="宋体"/>
          <w:color w:val="000000" w:themeColor="text1"/>
          <w:sz w:val="28"/>
          <w:szCs w:val="28"/>
        </w:rPr>
        <w:t>6.根据《关于在政府采购活动中查询及使用信用记录有关问题的通知》（财库﹝2016﹞125号）的规定，对列入失信被执行人、重大税收违法案件当事人名单、政府采购严重违法失信行为记录名单的企业，不得参与本项目竞价。【查询渠道：“信用中国”网站（www.creditchina.gov.cn）、中国政府采购网（</w:t>
      </w:r>
      <w:r>
        <w:fldChar w:fldCharType="begin"/>
      </w:r>
      <w:r>
        <w:instrText xml:space="preserve"> HYPERLINK "http://www.ccgp.gov.cn）】" </w:instrText>
      </w:r>
      <w:r>
        <w:fldChar w:fldCharType="separate"/>
      </w:r>
      <w:r>
        <w:rPr>
          <w:rStyle w:val="11"/>
          <w:rFonts w:hint="eastAsia" w:ascii="宋体" w:hAnsi="宋体" w:eastAsia="宋体" w:cs="宋体"/>
          <w:color w:val="000000" w:themeColor="text1"/>
          <w:sz w:val="28"/>
          <w:szCs w:val="28"/>
        </w:rPr>
        <w:t>www.ccgp.gov.cn）】</w:t>
      </w:r>
      <w:r>
        <w:rPr>
          <w:rStyle w:val="11"/>
          <w:rFonts w:hint="eastAsia" w:ascii="宋体" w:hAnsi="宋体" w:eastAsia="宋体" w:cs="宋体"/>
          <w:color w:val="000000" w:themeColor="text1"/>
          <w:sz w:val="28"/>
          <w:szCs w:val="28"/>
        </w:rPr>
        <w:fldChar w:fldCharType="end"/>
      </w:r>
      <w:r>
        <w:rPr>
          <w:rFonts w:hint="eastAsia" w:ascii="宋体" w:hAnsi="宋体" w:eastAsia="宋体" w:cs="宋体"/>
          <w:color w:val="000000" w:themeColor="text1"/>
          <w:sz w:val="28"/>
          <w:szCs w:val="28"/>
        </w:rPr>
        <w:t>。（提供网站查询网页截图并加盖供应商公章）</w:t>
      </w:r>
    </w:p>
    <w:p>
      <w:pPr>
        <w:widowControl/>
        <w:spacing w:line="560" w:lineRule="exact"/>
        <w:ind w:firstLine="560" w:firstLineChars="200"/>
        <w:jc w:val="left"/>
        <w:rPr>
          <w:rFonts w:ascii="宋体" w:hAnsi="宋体" w:eastAsia="宋体" w:cs="宋体"/>
          <w:color w:val="000000" w:themeColor="text1"/>
          <w:kern w:val="0"/>
          <w:sz w:val="28"/>
          <w:szCs w:val="28"/>
        </w:rPr>
      </w:pPr>
      <w:r>
        <w:rPr>
          <w:rFonts w:hint="eastAsia" w:ascii="宋体" w:hAnsi="宋体" w:eastAsia="宋体" w:cs="宋体"/>
          <w:color w:val="000000" w:themeColor="text1"/>
          <w:sz w:val="28"/>
          <w:szCs w:val="28"/>
        </w:rPr>
        <w:t>7.法律、行政法规规定的其他条件</w:t>
      </w:r>
      <w:r>
        <w:rPr>
          <w:rFonts w:hint="eastAsia" w:ascii="宋体" w:hAnsi="宋体" w:eastAsia="宋体" w:cs="宋体"/>
          <w:color w:val="000000" w:themeColor="text1"/>
          <w:kern w:val="0"/>
          <w:sz w:val="28"/>
          <w:szCs w:val="28"/>
        </w:rPr>
        <w:t>（提供承诺）</w:t>
      </w:r>
    </w:p>
    <w:p>
      <w:pPr>
        <w:pStyle w:val="2"/>
        <w:spacing w:after="0" w:line="560" w:lineRule="exact"/>
        <w:ind w:firstLine="562" w:firstLineChars="200"/>
        <w:outlineLvl w:val="1"/>
        <w:rPr>
          <w:rFonts w:ascii="宋体" w:hAnsi="宋体" w:cs="宋体"/>
          <w:b/>
          <w:bCs/>
          <w:color w:val="000000" w:themeColor="text1"/>
          <w:sz w:val="28"/>
          <w:szCs w:val="28"/>
        </w:rPr>
      </w:pPr>
      <w:r>
        <w:rPr>
          <w:rFonts w:hint="eastAsia" w:ascii="宋体" w:hAnsi="宋体" w:cs="宋体"/>
          <w:b/>
          <w:bCs/>
          <w:color w:val="000000" w:themeColor="text1"/>
          <w:sz w:val="28"/>
          <w:szCs w:val="28"/>
        </w:rPr>
        <w:t>（二）供应商须提供的技术要求</w:t>
      </w:r>
    </w:p>
    <w:p>
      <w:pPr>
        <w:widowControl/>
        <w:spacing w:line="360" w:lineRule="auto"/>
        <w:ind w:firstLine="425" w:firstLineChars="152"/>
        <w:jc w:val="left"/>
        <w:rPr>
          <w:rFonts w:asciiTheme="minorEastAsia" w:hAnsiTheme="minorEastAsia"/>
          <w:sz w:val="28"/>
          <w:szCs w:val="28"/>
        </w:rPr>
      </w:pPr>
      <w:r>
        <w:rPr>
          <w:rFonts w:hint="eastAsia" w:ascii="宋体" w:hAnsi="宋体" w:eastAsia="宋体" w:cs="宋体"/>
          <w:color w:val="000000" w:themeColor="text1"/>
          <w:sz w:val="28"/>
          <w:szCs w:val="28"/>
        </w:rPr>
        <w:t>遂平县人民检察院各平台系统及相</w:t>
      </w:r>
      <w:bookmarkStart w:id="0" w:name="_GoBack"/>
      <w:bookmarkEnd w:id="0"/>
      <w:r>
        <w:rPr>
          <w:rFonts w:hint="eastAsia" w:ascii="宋体" w:hAnsi="宋体" w:eastAsia="宋体" w:cs="宋体"/>
          <w:color w:val="000000" w:themeColor="text1"/>
          <w:sz w:val="28"/>
          <w:szCs w:val="28"/>
        </w:rPr>
        <w:t>关设备驻场维护服务，运维服务人</w:t>
      </w:r>
      <w:r>
        <w:rPr>
          <w:rFonts w:hint="eastAsia" w:asciiTheme="minorEastAsia" w:hAnsiTheme="minorEastAsia"/>
          <w:sz w:val="28"/>
          <w:szCs w:val="28"/>
        </w:rPr>
        <w:t>员工作日内必须在</w:t>
      </w:r>
      <w:r>
        <w:rPr>
          <w:rFonts w:hint="eastAsia" w:ascii="宋体" w:hAnsi="宋体" w:eastAsia="宋体" w:cs="宋体"/>
          <w:color w:val="000000" w:themeColor="text1"/>
          <w:sz w:val="28"/>
          <w:szCs w:val="28"/>
        </w:rPr>
        <w:t>遂平县</w:t>
      </w:r>
      <w:r>
        <w:rPr>
          <w:rFonts w:hint="eastAsia" w:cs="Calibri" w:asciiTheme="minorEastAsia" w:hAnsiTheme="minorEastAsia"/>
          <w:kern w:val="0"/>
          <w:sz w:val="28"/>
          <w:szCs w:val="28"/>
        </w:rPr>
        <w:t>人民检察院</w:t>
      </w:r>
      <w:r>
        <w:rPr>
          <w:rFonts w:hint="eastAsia" w:asciiTheme="minorEastAsia" w:hAnsiTheme="minorEastAsia"/>
          <w:sz w:val="28"/>
          <w:szCs w:val="28"/>
        </w:rPr>
        <w:t>驻场服务，派驻的运维人员需有一定的相关工作经验，工作时间为5*8小时，其余非工作时间须24小时响应，并依据业主要求提供非工作时间的驻场服务，负责应用系统日常维护，硬件设备日常维护以及甲方要求的其他相关工作。</w:t>
      </w:r>
    </w:p>
    <w:p>
      <w:pPr>
        <w:widowControl/>
        <w:spacing w:line="360" w:lineRule="auto"/>
        <w:ind w:firstLine="495" w:firstLineChars="177"/>
        <w:jc w:val="left"/>
        <w:rPr>
          <w:rFonts w:asciiTheme="minorEastAsia" w:hAnsiTheme="minorEastAsia"/>
          <w:sz w:val="28"/>
          <w:szCs w:val="28"/>
        </w:rPr>
      </w:pPr>
      <w:r>
        <w:rPr>
          <w:rFonts w:hint="eastAsia" w:asciiTheme="minorEastAsia" w:hAnsiTheme="minorEastAsia"/>
          <w:sz w:val="28"/>
          <w:szCs w:val="28"/>
        </w:rPr>
        <w:t>需提供场外技术支持服务，乙方除了提供驻场运维服务人员外，还需提供场外技术团队技术支持服务工作，进行远程技术指导服务以及技术团队技术支持人员到现场进行技术支持服务，团队技术工程师需有一定的专业技术能力。</w:t>
      </w:r>
    </w:p>
    <w:p>
      <w:pPr>
        <w:widowControl/>
        <w:spacing w:line="360" w:lineRule="auto"/>
        <w:ind w:firstLine="495" w:firstLineChars="177"/>
        <w:jc w:val="left"/>
        <w:rPr>
          <w:rFonts w:asciiTheme="minorEastAsia" w:hAnsiTheme="minorEastAsia"/>
          <w:sz w:val="28"/>
          <w:szCs w:val="28"/>
        </w:rPr>
      </w:pPr>
      <w:r>
        <w:rPr>
          <w:rFonts w:cs="Helvetica" w:asciiTheme="minorEastAsia" w:hAnsiTheme="minorEastAsia"/>
          <w:sz w:val="28"/>
          <w:szCs w:val="28"/>
          <w:shd w:val="clear" w:color="auto" w:fill="FFFFFF"/>
        </w:rPr>
        <w:t>参与竞价单位需到现场实际勘查，提供具体实施方案，领取现场勘查确认书，方可进行竞价，否则视为竞价无效，我单位可根据实施方案的完整性、可行性等择优选择中标供应商。</w:t>
      </w:r>
    </w:p>
    <w:p>
      <w:pPr>
        <w:rPr>
          <w:b/>
          <w:bCs/>
          <w:sz w:val="32"/>
          <w:szCs w:val="32"/>
        </w:rPr>
      </w:pPr>
      <w:r>
        <w:rPr>
          <w:rFonts w:hint="eastAsia"/>
          <w:b/>
          <w:bCs/>
          <w:sz w:val="32"/>
          <w:szCs w:val="32"/>
        </w:rPr>
        <w:t>（三）竞价要求</w:t>
      </w:r>
    </w:p>
    <w:p/>
    <w:tbl>
      <w:tblPr>
        <w:tblStyle w:val="9"/>
        <w:tblW w:w="8318"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6"/>
        <w:gridCol w:w="1843"/>
        <w:gridCol w:w="1309"/>
        <w:gridCol w:w="1520"/>
        <w:gridCol w:w="1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26" w:type="dxa"/>
            <w:vAlign w:val="center"/>
          </w:tcPr>
          <w:p>
            <w:pPr>
              <w:jc w:val="center"/>
              <w:rPr>
                <w:rFonts w:asciiTheme="minorEastAsia" w:hAnsiTheme="minorEastAsia"/>
                <w:sz w:val="28"/>
                <w:szCs w:val="28"/>
              </w:rPr>
            </w:pPr>
            <w:r>
              <w:rPr>
                <w:rFonts w:hint="eastAsia" w:asciiTheme="minorEastAsia" w:hAnsiTheme="minorEastAsia"/>
                <w:sz w:val="28"/>
                <w:szCs w:val="28"/>
              </w:rPr>
              <w:t>品目</w:t>
            </w:r>
          </w:p>
        </w:tc>
        <w:tc>
          <w:tcPr>
            <w:tcW w:w="1843" w:type="dxa"/>
            <w:vAlign w:val="center"/>
          </w:tcPr>
          <w:p>
            <w:pPr>
              <w:jc w:val="center"/>
              <w:rPr>
                <w:rFonts w:asciiTheme="minorEastAsia" w:hAnsiTheme="minorEastAsia"/>
                <w:sz w:val="28"/>
                <w:szCs w:val="28"/>
              </w:rPr>
            </w:pPr>
            <w:r>
              <w:rPr>
                <w:rFonts w:hint="eastAsia" w:asciiTheme="minorEastAsia" w:hAnsiTheme="minorEastAsia"/>
                <w:sz w:val="28"/>
                <w:szCs w:val="28"/>
              </w:rPr>
              <w:t>品牌</w:t>
            </w:r>
          </w:p>
        </w:tc>
        <w:tc>
          <w:tcPr>
            <w:tcW w:w="1309" w:type="dxa"/>
            <w:vAlign w:val="center"/>
          </w:tcPr>
          <w:p>
            <w:pPr>
              <w:jc w:val="center"/>
              <w:rPr>
                <w:rFonts w:asciiTheme="minorEastAsia" w:hAnsiTheme="minorEastAsia"/>
                <w:sz w:val="28"/>
                <w:szCs w:val="28"/>
              </w:rPr>
            </w:pPr>
            <w:r>
              <w:rPr>
                <w:rFonts w:hint="eastAsia" w:asciiTheme="minorEastAsia" w:hAnsiTheme="minorEastAsia"/>
                <w:sz w:val="28"/>
                <w:szCs w:val="28"/>
              </w:rPr>
              <w:t>数量</w:t>
            </w:r>
          </w:p>
        </w:tc>
        <w:tc>
          <w:tcPr>
            <w:tcW w:w="1520" w:type="dxa"/>
            <w:vAlign w:val="center"/>
          </w:tcPr>
          <w:p>
            <w:pPr>
              <w:jc w:val="center"/>
              <w:rPr>
                <w:rFonts w:asciiTheme="minorEastAsia" w:hAnsiTheme="minorEastAsia"/>
                <w:sz w:val="28"/>
                <w:szCs w:val="28"/>
              </w:rPr>
            </w:pPr>
            <w:r>
              <w:rPr>
                <w:rFonts w:hint="eastAsia" w:asciiTheme="minorEastAsia" w:hAnsiTheme="minorEastAsia"/>
                <w:sz w:val="28"/>
                <w:szCs w:val="28"/>
              </w:rPr>
              <w:t>单位</w:t>
            </w:r>
          </w:p>
        </w:tc>
        <w:tc>
          <w:tcPr>
            <w:tcW w:w="1520" w:type="dxa"/>
            <w:vAlign w:val="center"/>
          </w:tcPr>
          <w:p>
            <w:pPr>
              <w:jc w:val="center"/>
              <w:rPr>
                <w:rFonts w:asciiTheme="minorEastAsia" w:hAnsiTheme="minorEastAsia"/>
                <w:sz w:val="28"/>
                <w:szCs w:val="28"/>
              </w:rPr>
            </w:pPr>
            <w:r>
              <w:rPr>
                <w:rFonts w:hint="eastAsia" w:asciiTheme="minorEastAsia" w:hAnsiTheme="minorEastAsia"/>
                <w:sz w:val="28"/>
                <w:szCs w:val="28"/>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26" w:type="dxa"/>
            <w:vAlign w:val="center"/>
          </w:tcPr>
          <w:p>
            <w:pPr>
              <w:jc w:val="center"/>
              <w:rPr>
                <w:rFonts w:asciiTheme="minorEastAsia" w:hAnsiTheme="minorEastAsia"/>
                <w:sz w:val="28"/>
                <w:szCs w:val="28"/>
              </w:rPr>
            </w:pPr>
            <w:r>
              <w:rPr>
                <w:rFonts w:asciiTheme="minorEastAsia" w:hAnsiTheme="minorEastAsia"/>
                <w:sz w:val="28"/>
                <w:szCs w:val="28"/>
              </w:rPr>
              <w:t>技术服务</w:t>
            </w:r>
          </w:p>
        </w:tc>
        <w:tc>
          <w:tcPr>
            <w:tcW w:w="1843" w:type="dxa"/>
            <w:vAlign w:val="center"/>
          </w:tcPr>
          <w:p>
            <w:pPr>
              <w:jc w:val="center"/>
              <w:rPr>
                <w:rFonts w:asciiTheme="minorEastAsia" w:hAnsiTheme="minorEastAsia"/>
                <w:sz w:val="28"/>
                <w:szCs w:val="28"/>
              </w:rPr>
            </w:pPr>
            <w:r>
              <w:rPr>
                <w:rFonts w:hint="eastAsia" w:asciiTheme="minorEastAsia" w:hAnsiTheme="minorEastAsia"/>
                <w:sz w:val="28"/>
                <w:szCs w:val="28"/>
              </w:rPr>
              <w:t>不限</w:t>
            </w:r>
          </w:p>
        </w:tc>
        <w:tc>
          <w:tcPr>
            <w:tcW w:w="1309" w:type="dxa"/>
            <w:vAlign w:val="center"/>
          </w:tcPr>
          <w:p>
            <w:pPr>
              <w:jc w:val="center"/>
              <w:rPr>
                <w:rFonts w:asciiTheme="minorEastAsia" w:hAnsiTheme="minorEastAsia"/>
                <w:sz w:val="28"/>
                <w:szCs w:val="28"/>
              </w:rPr>
            </w:pPr>
            <w:r>
              <w:rPr>
                <w:rFonts w:hint="eastAsia" w:asciiTheme="minorEastAsia" w:hAnsiTheme="minorEastAsia"/>
                <w:sz w:val="28"/>
                <w:szCs w:val="28"/>
              </w:rPr>
              <w:t>1</w:t>
            </w:r>
          </w:p>
        </w:tc>
        <w:tc>
          <w:tcPr>
            <w:tcW w:w="1520" w:type="dxa"/>
            <w:vAlign w:val="center"/>
          </w:tcPr>
          <w:p>
            <w:pPr>
              <w:jc w:val="center"/>
              <w:rPr>
                <w:rFonts w:asciiTheme="minorEastAsia" w:hAnsiTheme="minorEastAsia"/>
                <w:sz w:val="28"/>
                <w:szCs w:val="28"/>
              </w:rPr>
            </w:pPr>
            <w:r>
              <w:rPr>
                <w:rFonts w:hint="eastAsia" w:asciiTheme="minorEastAsia" w:hAnsiTheme="minorEastAsia"/>
                <w:sz w:val="28"/>
                <w:szCs w:val="28"/>
              </w:rPr>
              <w:t>项</w:t>
            </w:r>
          </w:p>
        </w:tc>
        <w:tc>
          <w:tcPr>
            <w:tcW w:w="1520" w:type="dxa"/>
            <w:vAlign w:val="center"/>
          </w:tcPr>
          <w:p>
            <w:pPr>
              <w:jc w:val="center"/>
              <w:rPr>
                <w:rFonts w:asciiTheme="minorEastAsia" w:hAnsiTheme="minorEastAsia"/>
                <w:sz w:val="28"/>
                <w:szCs w:val="28"/>
              </w:rPr>
            </w:pPr>
            <w:r>
              <w:rPr>
                <w:rFonts w:hint="eastAsia" w:asciiTheme="minorEastAsia" w:hAnsiTheme="minorEastAsia"/>
                <w:sz w:val="28"/>
                <w:szCs w:val="28"/>
              </w:rPr>
              <w:t>75000</w:t>
            </w:r>
          </w:p>
        </w:tc>
      </w:tr>
    </w:tbl>
    <w:p/>
    <w:p>
      <w:pPr>
        <w:widowControl/>
        <w:spacing w:line="360" w:lineRule="auto"/>
        <w:ind w:firstLine="495" w:firstLineChars="177"/>
        <w:jc w:val="left"/>
        <w:rPr>
          <w:rFonts w:asciiTheme="minorEastAsia" w:hAnsiTheme="minorEastAsia"/>
          <w:sz w:val="28"/>
          <w:szCs w:val="28"/>
        </w:rPr>
      </w:pPr>
      <w:r>
        <w:rPr>
          <w:rFonts w:hint="eastAsia" w:asciiTheme="minorEastAsia" w:hAnsiTheme="minorEastAsia"/>
          <w:sz w:val="28"/>
          <w:szCs w:val="28"/>
        </w:rPr>
        <w:t>要求：</w:t>
      </w:r>
      <w:r>
        <w:rPr>
          <w:rFonts w:cs="Helvetica" w:asciiTheme="minorEastAsia" w:hAnsiTheme="minorEastAsia"/>
          <w:sz w:val="28"/>
          <w:szCs w:val="28"/>
          <w:shd w:val="clear" w:color="auto" w:fill="FFFFFF"/>
        </w:rPr>
        <w:t>参与竞价单位需到现场实际勘查，提供具体实施方案，领取现场勘查确认书，方可进行竞价，否则视为竞价无效，我单位可根据实施方案的完整性、可行性等择优选择中标供应商。</w:t>
      </w:r>
    </w:p>
    <w:p>
      <w:pPr>
        <w:snapToGrid w:val="0"/>
        <w:spacing w:line="360" w:lineRule="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FD6"/>
    <w:rsid w:val="00026137"/>
    <w:rsid w:val="00043301"/>
    <w:rsid w:val="000F7021"/>
    <w:rsid w:val="000F7A7C"/>
    <w:rsid w:val="00191BEC"/>
    <w:rsid w:val="001E4095"/>
    <w:rsid w:val="00232052"/>
    <w:rsid w:val="00242691"/>
    <w:rsid w:val="002562A6"/>
    <w:rsid w:val="00286850"/>
    <w:rsid w:val="00347441"/>
    <w:rsid w:val="003F19A6"/>
    <w:rsid w:val="00445CEA"/>
    <w:rsid w:val="00477A6F"/>
    <w:rsid w:val="004942A0"/>
    <w:rsid w:val="004B70D3"/>
    <w:rsid w:val="004C1E1D"/>
    <w:rsid w:val="004C62B8"/>
    <w:rsid w:val="00504A98"/>
    <w:rsid w:val="00532250"/>
    <w:rsid w:val="005603C0"/>
    <w:rsid w:val="00597DDD"/>
    <w:rsid w:val="00653652"/>
    <w:rsid w:val="00685E0B"/>
    <w:rsid w:val="006C148D"/>
    <w:rsid w:val="006F48C7"/>
    <w:rsid w:val="006F7B0B"/>
    <w:rsid w:val="00700FD6"/>
    <w:rsid w:val="007309AE"/>
    <w:rsid w:val="007324CF"/>
    <w:rsid w:val="00734CED"/>
    <w:rsid w:val="00750B80"/>
    <w:rsid w:val="007E3338"/>
    <w:rsid w:val="008107C4"/>
    <w:rsid w:val="00844696"/>
    <w:rsid w:val="00902851"/>
    <w:rsid w:val="009132C4"/>
    <w:rsid w:val="009C5144"/>
    <w:rsid w:val="009E2DD5"/>
    <w:rsid w:val="009E4DF9"/>
    <w:rsid w:val="00A452C8"/>
    <w:rsid w:val="00A52475"/>
    <w:rsid w:val="00A634E3"/>
    <w:rsid w:val="00A71E70"/>
    <w:rsid w:val="00AB24E8"/>
    <w:rsid w:val="00B33C3F"/>
    <w:rsid w:val="00BC5DCE"/>
    <w:rsid w:val="00CF5B61"/>
    <w:rsid w:val="00D1788F"/>
    <w:rsid w:val="00D575AC"/>
    <w:rsid w:val="00D731C5"/>
    <w:rsid w:val="00D82286"/>
    <w:rsid w:val="00DB170B"/>
    <w:rsid w:val="00DB3E2C"/>
    <w:rsid w:val="00E744F7"/>
    <w:rsid w:val="00E77425"/>
    <w:rsid w:val="00E97B5F"/>
    <w:rsid w:val="00EA2CA5"/>
    <w:rsid w:val="00EE0DBA"/>
    <w:rsid w:val="00F13E45"/>
    <w:rsid w:val="00F372FD"/>
    <w:rsid w:val="00F52E03"/>
    <w:rsid w:val="00F845F3"/>
    <w:rsid w:val="00FD370A"/>
    <w:rsid w:val="00FF56D1"/>
    <w:rsid w:val="03297746"/>
    <w:rsid w:val="191F686E"/>
    <w:rsid w:val="3A3C72B9"/>
    <w:rsid w:val="429E7C20"/>
    <w:rsid w:val="51A8030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15"/>
    <w:qFormat/>
    <w:uiPriority w:val="0"/>
    <w:pPr>
      <w:spacing w:before="100" w:beforeAutospacing="1" w:after="120"/>
    </w:pPr>
    <w:rPr>
      <w:rFonts w:ascii="Times New Roman" w:hAnsi="Times New Roman" w:eastAsia="宋体" w:cs="Times New Roman"/>
      <w:szCs w:val="21"/>
    </w:rPr>
  </w:style>
  <w:style w:type="paragraph" w:styleId="3">
    <w:name w:val="Body Text Indent"/>
    <w:basedOn w:val="1"/>
    <w:link w:val="16"/>
    <w:semiHidden/>
    <w:unhideWhenUsed/>
    <w:qFormat/>
    <w:uiPriority w:val="99"/>
    <w:pPr>
      <w:spacing w:after="120"/>
      <w:ind w:left="420" w:leftChars="200"/>
    </w:p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link w:val="18"/>
    <w:semiHidden/>
    <w:unhideWhenUsed/>
    <w:qFormat/>
    <w:uiPriority w:val="99"/>
    <w:pPr>
      <w:spacing w:before="0" w:beforeAutospacing="0"/>
      <w:ind w:firstLine="420" w:firstLineChars="100"/>
    </w:pPr>
    <w:rPr>
      <w:rFonts w:asciiTheme="minorHAnsi" w:hAnsiTheme="minorHAnsi" w:eastAsiaTheme="minorEastAsia" w:cstheme="minorBidi"/>
      <w:szCs w:val="22"/>
    </w:rPr>
  </w:style>
  <w:style w:type="paragraph" w:styleId="7">
    <w:name w:val="Body Text First Indent 2"/>
    <w:basedOn w:val="3"/>
    <w:next w:val="6"/>
    <w:link w:val="17"/>
    <w:qFormat/>
    <w:uiPriority w:val="0"/>
    <w:pPr>
      <w:ind w:firstLine="420" w:firstLineChars="200"/>
    </w:pPr>
    <w:rPr>
      <w:szCs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1">
    <w:name w:val="Hyperlink"/>
    <w:basedOn w:val="10"/>
    <w:semiHidden/>
    <w:unhideWhenUsed/>
    <w:qFormat/>
    <w:uiPriority w:val="99"/>
    <w:rPr>
      <w:color w:val="338DE6"/>
      <w:u w:val="none"/>
    </w:rPr>
  </w:style>
  <w:style w:type="character" w:customStyle="1" w:styleId="12">
    <w:name w:val="页眉 Char"/>
    <w:basedOn w:val="10"/>
    <w:link w:val="5"/>
    <w:qFormat/>
    <w:uiPriority w:val="99"/>
    <w:rPr>
      <w:sz w:val="18"/>
      <w:szCs w:val="18"/>
    </w:rPr>
  </w:style>
  <w:style w:type="character" w:customStyle="1" w:styleId="13">
    <w:name w:val="页脚 Char"/>
    <w:basedOn w:val="10"/>
    <w:link w:val="4"/>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正文文本 Char"/>
    <w:basedOn w:val="10"/>
    <w:link w:val="2"/>
    <w:qFormat/>
    <w:uiPriority w:val="0"/>
    <w:rPr>
      <w:rFonts w:ascii="Times New Roman" w:hAnsi="Times New Roman" w:eastAsia="宋体" w:cs="Times New Roman"/>
      <w:szCs w:val="21"/>
    </w:rPr>
  </w:style>
  <w:style w:type="character" w:customStyle="1" w:styleId="16">
    <w:name w:val="正文文本缩进 Char"/>
    <w:basedOn w:val="10"/>
    <w:link w:val="3"/>
    <w:semiHidden/>
    <w:qFormat/>
    <w:uiPriority w:val="99"/>
  </w:style>
  <w:style w:type="character" w:customStyle="1" w:styleId="17">
    <w:name w:val="正文首行缩进 2 Char"/>
    <w:basedOn w:val="16"/>
    <w:link w:val="7"/>
    <w:qFormat/>
    <w:uiPriority w:val="0"/>
    <w:rPr>
      <w:szCs w:val="24"/>
    </w:rPr>
  </w:style>
  <w:style w:type="character" w:customStyle="1" w:styleId="18">
    <w:name w:val="正文首行缩进 Char"/>
    <w:basedOn w:val="15"/>
    <w:link w:val="6"/>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143</Words>
  <Characters>821</Characters>
  <Lines>6</Lines>
  <Paragraphs>1</Paragraphs>
  <TotalTime>16</TotalTime>
  <ScaleCrop>false</ScaleCrop>
  <LinksUpToDate>false</LinksUpToDate>
  <CharactersWithSpaces>963</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2023-02-28T01:31:00Z</dcterms:created>
  <dc:creator>Administrator</dc:creator>
  <cp:lastModifiedBy>Administrator</cp:lastModifiedBy>
  <dcterms:modified xsi:type="dcterms:W3CDTF">2026-07-15T08:09:38Z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y fmtid="{D5CDD505-2E9C-101B-9397-08002B2CF9AE}" pid="3" name="ICV">
    <vt:lpwstr>B316F065F760413CA37A82E78B641930_13</vt:lpwstr>
  </property>
</Properties>
</file>