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87BBE">
      <w:pPr>
        <w:ind w:firstLine="641"/>
        <w:jc w:val="center"/>
        <w:rPr>
          <w:rFonts w:hint="eastAsia" w:ascii="楷体" w:hAnsi="楷体" w:eastAsia="楷体" w:cs="楷体"/>
          <w:color w:val="auto"/>
          <w:sz w:val="44"/>
          <w:szCs w:val="44"/>
          <w:lang w:val="en-US" w:eastAsia="zh-CN"/>
        </w:rPr>
      </w:pPr>
      <w:r>
        <w:rPr>
          <w:rFonts w:hint="eastAsia" w:ascii="楷体" w:hAnsi="楷体" w:eastAsia="楷体" w:cs="楷体"/>
          <w:color w:val="auto"/>
          <w:sz w:val="44"/>
          <w:szCs w:val="44"/>
          <w:lang w:val="en-US" w:eastAsia="zh-CN"/>
        </w:rPr>
        <w:t>项目中介采购需求</w:t>
      </w:r>
    </w:p>
    <w:p w14:paraId="4520FEDD">
      <w:pPr>
        <w:ind w:firstLine="641"/>
        <w:rPr>
          <w:rFonts w:hint="eastAsia" w:ascii="楷体" w:hAnsi="楷体" w:eastAsia="楷体" w:cs="楷体"/>
          <w:b w:val="0"/>
          <w:i w:val="0"/>
          <w:caps w:val="0"/>
          <w:color w:val="auto"/>
          <w:spacing w:val="0"/>
          <w:kern w:val="0"/>
          <w:sz w:val="32"/>
          <w:szCs w:val="32"/>
          <w:lang w:val="en-US" w:eastAsia="zh-CN"/>
        </w:rPr>
      </w:pPr>
      <w:r>
        <w:rPr>
          <w:rFonts w:hint="eastAsia" w:ascii="楷体" w:hAnsi="楷体" w:eastAsia="楷体" w:cs="楷体"/>
          <w:b w:val="0"/>
          <w:i w:val="0"/>
          <w:caps w:val="0"/>
          <w:color w:val="auto"/>
          <w:spacing w:val="0"/>
          <w:kern w:val="0"/>
          <w:sz w:val="32"/>
          <w:szCs w:val="32"/>
          <w:lang w:val="en-US" w:eastAsia="zh-CN"/>
        </w:rPr>
        <w:t>1.</w:t>
      </w:r>
      <w:r>
        <w:rPr>
          <w:rFonts w:hint="eastAsia" w:ascii="仿宋_GB2312" w:hAnsi="仿宋_GB2312" w:eastAsia="仿宋_GB2312" w:cs="仿宋_GB2312"/>
          <w:color w:val="auto"/>
          <w:sz w:val="32"/>
          <w:szCs w:val="32"/>
          <w:lang w:val="en-US" w:eastAsia="zh-CN"/>
        </w:rPr>
        <w:t>项目基本情况</w:t>
      </w:r>
    </w:p>
    <w:p w14:paraId="1E5DABC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项目名称：</w:t>
      </w:r>
      <w:r>
        <w:rPr>
          <w:rFonts w:hint="eastAsia" w:ascii="仿宋_GB2312" w:hAnsi="仿宋_GB2312" w:eastAsia="仿宋_GB2312" w:cs="仿宋_GB2312"/>
          <w:color w:val="auto"/>
          <w:sz w:val="32"/>
          <w:szCs w:val="32"/>
          <w:lang w:val="en-US" w:eastAsia="zh-CN"/>
        </w:rPr>
        <w:t>新蔡县河口大桥钢便桥汛期应急抢险加固工程决算情况审计</w:t>
      </w:r>
    </w:p>
    <w:p w14:paraId="75B8BAC4">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项目内容: </w:t>
      </w:r>
      <w:r>
        <w:rPr>
          <w:rFonts w:hint="eastAsia" w:ascii="仿宋_GB2312" w:hAnsi="仿宋_GB2312" w:eastAsia="仿宋_GB2312" w:cs="仿宋_GB2312"/>
          <w:color w:val="auto"/>
          <w:sz w:val="32"/>
          <w:szCs w:val="32"/>
          <w:lang w:val="en-US" w:eastAsia="zh-CN"/>
        </w:rPr>
        <w:t>决算情况审计</w:t>
      </w:r>
    </w:p>
    <w:p w14:paraId="08130AF9">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审计时限: 1</w:t>
      </w:r>
      <w:r>
        <w:rPr>
          <w:rFonts w:hint="eastAsia" w:ascii="仿宋_GB2312" w:hAnsi="仿宋_GB2312" w:eastAsia="仿宋_GB2312" w:cs="仿宋_GB2312"/>
          <w:color w:val="auto"/>
          <w:sz w:val="32"/>
          <w:szCs w:val="32"/>
          <w:lang w:val="en-US" w:eastAsia="zh-CN"/>
        </w:rPr>
        <w:t>0天</w:t>
      </w:r>
    </w:p>
    <w:p w14:paraId="4BF03146">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预算金额: </w:t>
      </w:r>
      <w:r>
        <w:rPr>
          <w:rFonts w:hint="eastAsia" w:ascii="仿宋_GB2312" w:hAnsi="仿宋_GB2312" w:eastAsia="仿宋_GB2312" w:cs="仿宋_GB2312"/>
          <w:color w:val="auto"/>
          <w:sz w:val="32"/>
          <w:szCs w:val="32"/>
          <w:lang w:val="en-US" w:eastAsia="zh-CN"/>
        </w:rPr>
        <w:t xml:space="preserve">3300元 </w:t>
      </w:r>
    </w:p>
    <w:p w14:paraId="34845B6A">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 xml:space="preserve">资金来源: </w:t>
      </w:r>
      <w:r>
        <w:rPr>
          <w:rFonts w:hint="eastAsia" w:ascii="仿宋_GB2312" w:hAnsi="仿宋_GB2312" w:eastAsia="仿宋_GB2312" w:cs="仿宋_GB2312"/>
          <w:b w:val="0"/>
          <w:bCs w:val="0"/>
          <w:color w:val="auto"/>
          <w:sz w:val="32"/>
          <w:szCs w:val="32"/>
          <w:lang w:val="en-US" w:eastAsia="zh-CN"/>
        </w:rPr>
        <w:t>财政资金</w:t>
      </w:r>
    </w:p>
    <w:p w14:paraId="08BD6D5F">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其他说明事项：</w:t>
      </w:r>
      <w:r>
        <w:rPr>
          <w:rFonts w:hint="eastAsia" w:ascii="仿宋_GB2312" w:hAnsi="仿宋_GB2312" w:eastAsia="仿宋_GB2312" w:cs="仿宋_GB2312"/>
          <w:color w:val="auto"/>
          <w:sz w:val="32"/>
          <w:szCs w:val="32"/>
          <w:lang w:val="en-US" w:eastAsia="zh-CN"/>
        </w:rPr>
        <w:t>合同包含主要工程内容：包括纠正桥体倾斜、消除锈蚀现象、修复连接失效部位、纠正变形结构及纠正位移等。对桥面板、护栏、挡脚板等构件进行整体更换，并加强各构件间的焊接牢固性，喷涂警示漆，增设防护网和宣传标牌等设施。</w:t>
      </w:r>
      <w:bookmarkStart w:id="0" w:name="_GoBack"/>
      <w:bookmarkEnd w:id="0"/>
    </w:p>
    <w:p w14:paraId="2F681F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lang w:val="en-US" w:eastAsia="zh-CN"/>
        </w:rPr>
        <w:t>2.采购要求</w:t>
      </w:r>
    </w:p>
    <w:p w14:paraId="3D758F7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（1）供应商必须具有独立法人资格，能够完全承担法律责任。</w:t>
      </w:r>
    </w:p>
    <w:p w14:paraId="48E5CFE9">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（2）供应商出具的造价咨询成果实行终身负责制，并负完全法律责任。</w:t>
      </w:r>
    </w:p>
    <w:p w14:paraId="1CADC90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（3）总公司与子公司（分公司）不能同时参与</w:t>
      </w:r>
      <w:r>
        <w:rPr>
          <w:rFonts w:hint="default" w:ascii="仿宋_GB2312" w:hAnsi="仿宋_GB2312" w:eastAsia="仿宋_GB2312" w:cs="仿宋_GB2312"/>
          <w:color w:val="auto"/>
          <w:sz w:val="32"/>
          <w:szCs w:val="32"/>
          <w:lang w:eastAsia="zh-CN"/>
        </w:rPr>
        <w:t>同一</w:t>
      </w:r>
      <w:r>
        <w:rPr>
          <w:rFonts w:hint="eastAsia" w:ascii="仿宋_GB2312" w:hAnsi="仿宋_GB2312" w:eastAsia="仿宋_GB2312" w:cs="仿宋_GB2312"/>
          <w:color w:val="auto"/>
          <w:sz w:val="32"/>
          <w:szCs w:val="32"/>
          <w:lang w:val="en-US" w:eastAsia="zh-CN"/>
        </w:rPr>
        <w:t>项目竞价，项目禁止转包、分包。</w:t>
      </w:r>
    </w:p>
    <w:p w14:paraId="5DCE5E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（4）供应商需</w:t>
      </w:r>
      <w:r>
        <w:rPr>
          <w:rFonts w:hint="default" w:ascii="仿宋_GB2312" w:hAnsi="仿宋_GB2312" w:eastAsia="仿宋_GB2312" w:cs="仿宋_GB2312"/>
          <w:color w:val="auto"/>
          <w:sz w:val="32"/>
          <w:szCs w:val="32"/>
          <w:lang w:val="en" w:eastAsia="zh-CN"/>
        </w:rPr>
        <w:t>提供项目部组成人员名单</w:t>
      </w:r>
      <w:r>
        <w:rPr>
          <w:rFonts w:hint="eastAsia"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项目部组成人员专业配备合理，专业人员配备应满足项目要求</w:t>
      </w:r>
      <w:r>
        <w:rPr>
          <w:rFonts w:hint="default" w:ascii="仿宋_GB2312" w:hAnsi="仿宋_GB2312" w:eastAsia="仿宋_GB2312" w:cs="仿宋_GB2312"/>
          <w:color w:val="auto"/>
          <w:sz w:val="32"/>
          <w:szCs w:val="32"/>
          <w:lang w:val="en" w:eastAsia="zh-CN"/>
        </w:rPr>
        <w:t>。</w:t>
      </w:r>
      <w:r>
        <w:rPr>
          <w:rFonts w:hint="eastAsia" w:ascii="仿宋_GB2312" w:hAnsi="仿宋_GB2312" w:eastAsia="仿宋_GB2312" w:cs="仿宋_GB2312"/>
          <w:color w:val="auto"/>
          <w:sz w:val="32"/>
          <w:szCs w:val="32"/>
          <w:lang w:val="en-US" w:eastAsia="zh-CN"/>
        </w:rPr>
        <w:t>其中拟派项目负责人须同时具备</w:t>
      </w:r>
      <w:r>
        <w:rPr>
          <w:rFonts w:hint="default" w:ascii="仿宋_GB2312" w:hAnsi="仿宋_GB2312" w:eastAsia="仿宋_GB2312" w:cs="仿宋_GB2312"/>
          <w:color w:val="auto"/>
          <w:sz w:val="32"/>
          <w:szCs w:val="32"/>
          <w:lang w:val="en" w:eastAsia="zh-CN"/>
        </w:rPr>
        <w:t>一级</w:t>
      </w:r>
      <w:r>
        <w:rPr>
          <w:rFonts w:hint="eastAsia" w:ascii="仿宋_GB2312" w:hAnsi="仿宋_GB2312" w:eastAsia="仿宋_GB2312" w:cs="仿宋_GB2312"/>
          <w:color w:val="auto"/>
          <w:sz w:val="32"/>
          <w:szCs w:val="32"/>
          <w:lang w:val="en-US" w:eastAsia="zh-CN"/>
        </w:rPr>
        <w:t>注册造价工程师证书及相应专业中级以上工程类、经济类职称证书，其他人员应具有一级造价工程师资格证书及相关从业经历。</w:t>
      </w:r>
    </w:p>
    <w:p w14:paraId="507B19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（5）供应商需结合项目特点、难易程度及采购方需求，严格按照县审计局确定的工作时间完成审计工作，并将初步审计结果以书面报告形式提交县审计局。</w:t>
      </w:r>
    </w:p>
    <w:p w14:paraId="37D799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（6）供应商不得有与项目审核结论公正性产生影响的直接、间接利益关系或其他利害关系。</w:t>
      </w:r>
    </w:p>
    <w:p w14:paraId="2403C2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（7）参与项目竞价的供应商已经政府采购电子商城审批进入平台，视为供应商公司经营证照、人员社保齐备，信用、违法记录合格。如有弄虚作假行为，经核实，按照相关法律法规处理。</w:t>
      </w:r>
    </w:p>
    <w:p w14:paraId="49E112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（8）参与竞价的供应商应根据实际仔细核算项目的报价，如违背市场规律，或恶意竞标，采购人将根据政策和相关法律法规作出相应处理，并有权拒绝其报价。</w:t>
      </w:r>
    </w:p>
    <w:p w14:paraId="1A025E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3.回避的情形</w:t>
      </w:r>
    </w:p>
    <w:p w14:paraId="7037FD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中选中介服务机构及执业人员不得有与项目审核结论公正性产生影响的直接、间接利益关系或其他利害关系。     </w:t>
      </w:r>
    </w:p>
    <w:p w14:paraId="411AAD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4.监督管理</w:t>
      </w:r>
    </w:p>
    <w:p w14:paraId="194E64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（1）县审计局对咨询机构审计质量问题、审核超时、违反程序和泄密等，采取警告、扣减审计费、解除合同或录入黑名单等处罚，并依法追究其经济和法律责任。</w:t>
      </w:r>
    </w:p>
    <w:p w14:paraId="2FFD617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（2）对出现审计质量问题的处理。发现咨询机构出具的审计报告与县审计局</w:t>
      </w:r>
      <w:r>
        <w:rPr>
          <w:rFonts w:hint="default" w:ascii="仿宋_GB2312" w:hAnsi="仿宋_GB2312" w:eastAsia="仿宋_GB2312" w:cs="仿宋_GB2312"/>
          <w:color w:val="auto"/>
          <w:sz w:val="32"/>
          <w:szCs w:val="32"/>
          <w:lang w:val="en" w:eastAsia="zh-CN"/>
        </w:rPr>
        <w:t>抽审</w:t>
      </w:r>
      <w:r>
        <w:rPr>
          <w:rFonts w:hint="eastAsia" w:ascii="仿宋_GB2312" w:hAnsi="仿宋_GB2312" w:eastAsia="仿宋_GB2312" w:cs="仿宋_GB2312"/>
          <w:color w:val="auto"/>
          <w:sz w:val="32"/>
          <w:szCs w:val="32"/>
          <w:lang w:val="en-US" w:eastAsia="zh-CN"/>
        </w:rPr>
        <w:t>复核结果</w:t>
      </w:r>
      <w:r>
        <w:rPr>
          <w:rFonts w:hint="default" w:ascii="仿宋_GB2312" w:hAnsi="仿宋_GB2312" w:eastAsia="仿宋_GB2312" w:cs="仿宋_GB2312"/>
          <w:color w:val="auto"/>
          <w:sz w:val="32"/>
          <w:szCs w:val="32"/>
          <w:lang w:val="en" w:eastAsia="zh-CN"/>
        </w:rPr>
        <w:t>或上级部门专项审查结果</w:t>
      </w:r>
      <w:r>
        <w:rPr>
          <w:rFonts w:hint="eastAsia" w:ascii="仿宋_GB2312" w:hAnsi="仿宋_GB2312" w:eastAsia="仿宋_GB2312" w:cs="仿宋_GB2312"/>
          <w:color w:val="auto"/>
          <w:sz w:val="32"/>
          <w:szCs w:val="32"/>
          <w:lang w:val="en-US" w:eastAsia="zh-CN"/>
        </w:rPr>
        <w:t>存在差异，即：偏差率i〔偏差率i=(中介出具结果-</w:t>
      </w:r>
      <w:r>
        <w:rPr>
          <w:rFonts w:hint="eastAsia" w:ascii="仿宋_GB2312" w:hAnsi="仿宋_GB2312" w:eastAsia="仿宋_GB2312" w:cs="仿宋_GB2312"/>
          <w:color w:val="auto"/>
          <w:sz w:val="32"/>
          <w:szCs w:val="32"/>
          <w:lang w:val="en" w:eastAsia="zh-CN"/>
        </w:rPr>
        <w:t>县</w:t>
      </w:r>
      <w:r>
        <w:rPr>
          <w:rFonts w:hint="eastAsia" w:ascii="仿宋_GB2312" w:hAnsi="仿宋_GB2312" w:eastAsia="仿宋_GB2312" w:cs="仿宋_GB2312"/>
          <w:color w:val="auto"/>
          <w:sz w:val="32"/>
          <w:szCs w:val="32"/>
          <w:lang w:val="en-US" w:eastAsia="zh-CN"/>
        </w:rPr>
        <w:t>审计</w:t>
      </w:r>
      <w:r>
        <w:rPr>
          <w:rFonts w:hint="default" w:ascii="仿宋_GB2312" w:hAnsi="仿宋_GB2312" w:eastAsia="仿宋_GB2312" w:cs="仿宋_GB2312"/>
          <w:color w:val="auto"/>
          <w:sz w:val="32"/>
          <w:szCs w:val="32"/>
          <w:lang w:val="en" w:eastAsia="zh-CN"/>
        </w:rPr>
        <w:t>局</w:t>
      </w:r>
      <w:r>
        <w:rPr>
          <w:rFonts w:hint="eastAsia" w:ascii="仿宋_GB2312" w:hAnsi="仿宋_GB2312" w:eastAsia="仿宋_GB2312" w:cs="仿宋_GB2312"/>
          <w:color w:val="auto"/>
          <w:sz w:val="32"/>
          <w:szCs w:val="32"/>
          <w:lang w:val="en-US" w:eastAsia="zh-CN"/>
        </w:rPr>
        <w:t>复核结果（或上级部门专项审查结果）)/</w:t>
      </w:r>
      <w:r>
        <w:rPr>
          <w:rFonts w:hint="eastAsia" w:ascii="仿宋_GB2312" w:hAnsi="仿宋_GB2312" w:eastAsia="仿宋_GB2312" w:cs="仿宋_GB2312"/>
          <w:color w:val="auto"/>
          <w:sz w:val="32"/>
          <w:szCs w:val="32"/>
          <w:lang w:val="en" w:eastAsia="zh-CN"/>
        </w:rPr>
        <w:t>县</w:t>
      </w:r>
      <w:r>
        <w:rPr>
          <w:rFonts w:hint="eastAsia" w:ascii="仿宋_GB2312" w:hAnsi="仿宋_GB2312" w:eastAsia="仿宋_GB2312" w:cs="仿宋_GB2312"/>
          <w:color w:val="auto"/>
          <w:sz w:val="32"/>
          <w:szCs w:val="32"/>
          <w:lang w:val="en-US" w:eastAsia="zh-CN"/>
        </w:rPr>
        <w:t>审计</w:t>
      </w:r>
      <w:r>
        <w:rPr>
          <w:rFonts w:hint="default" w:ascii="仿宋_GB2312" w:hAnsi="仿宋_GB2312" w:eastAsia="仿宋_GB2312" w:cs="仿宋_GB2312"/>
          <w:color w:val="auto"/>
          <w:sz w:val="32"/>
          <w:szCs w:val="32"/>
          <w:lang w:val="en" w:eastAsia="zh-CN"/>
        </w:rPr>
        <w:t>局</w:t>
      </w:r>
      <w:r>
        <w:rPr>
          <w:rFonts w:hint="eastAsia" w:ascii="仿宋_GB2312" w:hAnsi="仿宋_GB2312" w:eastAsia="仿宋_GB2312" w:cs="仿宋_GB2312"/>
          <w:color w:val="auto"/>
          <w:sz w:val="32"/>
          <w:szCs w:val="32"/>
          <w:lang w:val="en-US" w:eastAsia="zh-CN"/>
        </w:rPr>
        <w:t>复核结果（或上级部门专项审查结果）</w:t>
      </w:r>
      <w:r>
        <w:rPr>
          <w:rFonts w:hint="eastAsia" w:ascii="汉仪细圆B5" w:hAnsi="汉仪细圆B5" w:eastAsia="汉仪细圆B5" w:cs="汉仪细圆B5"/>
          <w:color w:val="auto"/>
          <w:sz w:val="32"/>
          <w:szCs w:val="32"/>
          <w:lang w:val="en-US" w:eastAsia="zh-CN"/>
        </w:rPr>
        <w:t>×</w:t>
      </w:r>
      <w:r>
        <w:rPr>
          <w:rFonts w:hint="eastAsia" w:ascii="仿宋_GB2312" w:hAnsi="仿宋_GB2312" w:eastAsia="仿宋_GB2312" w:cs="仿宋_GB2312"/>
          <w:color w:val="auto"/>
          <w:sz w:val="32"/>
          <w:szCs w:val="32"/>
          <w:lang w:val="en-US" w:eastAsia="zh-CN"/>
        </w:rPr>
        <w:t>100</w:t>
      </w:r>
      <w:r>
        <w:rPr>
          <w:rFonts w:hint="eastAsia" w:ascii="汉仪瑞意宋简" w:hAnsi="汉仪瑞意宋简" w:eastAsia="汉仪瑞意宋简" w:cs="汉仪瑞意宋简"/>
          <w:color w:val="auto"/>
          <w:sz w:val="32"/>
          <w:szCs w:val="32"/>
          <w:lang w:val="en-US" w:eastAsia="zh-CN"/>
        </w:rPr>
        <w:t>%</w:t>
      </w:r>
      <w:r>
        <w:rPr>
          <w:rFonts w:hint="eastAsia" w:ascii="仿宋_GB2312" w:hAnsi="仿宋_GB2312" w:eastAsia="仿宋_GB2312" w:cs="仿宋_GB2312"/>
          <w:color w:val="auto"/>
          <w:sz w:val="32"/>
          <w:szCs w:val="32"/>
          <w:lang w:val="en-US" w:eastAsia="zh-CN"/>
        </w:rPr>
        <w:t>〕，县审计局将对咨询机构作出如下处理:</w:t>
      </w:r>
    </w:p>
    <w:p w14:paraId="32F4C46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1）工程预、结（决）算、招标控制价的审核</w:t>
      </w:r>
    </w:p>
    <w:p w14:paraId="058E8A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①i在±1%内，对乙方进行口头或书面警告处理；</w:t>
      </w:r>
    </w:p>
    <w:p w14:paraId="750250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②i在±1%—±3%之间的，扣减委托服务费的15%；</w:t>
      </w:r>
    </w:p>
    <w:p w14:paraId="372E16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③i在±3%—±5%之间的，扣减委托服务费的30%；</w:t>
      </w:r>
    </w:p>
    <w:p w14:paraId="3BCA691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④i在±5%—±8%之间的，扣减委托服务费的60%；</w:t>
      </w:r>
    </w:p>
    <w:p w14:paraId="4B17F2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⑤i在±8%—±10%之间的，扣减委托服务费的80%；</w:t>
      </w:r>
    </w:p>
    <w:p w14:paraId="2DBE9E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⑥i&gt;±10%，扣减委托服务费的100%；</w:t>
      </w:r>
    </w:p>
    <w:p w14:paraId="7843FBF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⑦对i在±1%内，但单项偏差超过10万元以上的项目，每出现一次按扣减委托服务费的5%处理。</w:t>
      </w:r>
    </w:p>
    <w:p w14:paraId="4571B30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2）偏差情节特别严重的，视情节作出暂停委托任务或解除合同的处理。</w:t>
      </w:r>
    </w:p>
    <w:p w14:paraId="679C24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（3）逾期处理。因乙方原因，未能按项目委托协议书约定的时间提交初稿和定案稿及对复审意见处理不及时的，按如下规定处理：</w:t>
      </w:r>
    </w:p>
    <w:p w14:paraId="054E113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1）逾期2天内的，对负责审计和复核的中介机构进行口头或书面警告处理。</w:t>
      </w:r>
    </w:p>
    <w:p w14:paraId="0C20003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2）逾期超过2天未达到5天的，该项目委托服务费中介机构按95%支付。</w:t>
      </w:r>
    </w:p>
    <w:p w14:paraId="13D1EE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3）逾期超过5天未达到10天的，该项目中介机构委托服务费按90%支付。</w:t>
      </w:r>
    </w:p>
    <w:p w14:paraId="66F104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4）逾期超过10天未达到15天的，该项目中介机构委托服务费按85%支付。</w:t>
      </w:r>
    </w:p>
    <w:p w14:paraId="47C2C97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5）逾期超过15天未达到1个月的，该项目中介机构委托服务费按80%支付。</w:t>
      </w:r>
    </w:p>
    <w:p w14:paraId="79B55C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6）逾期超过1个月以上的，甲方可作出解除委托协议并对中介机构所作出的工作不予付费的处理。</w:t>
      </w:r>
    </w:p>
    <w:p w14:paraId="7AB815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7）对情形严重的，除按上述规定处理外，县审计局同时可采取相应措施追究中介机构的相应责任。</w:t>
      </w:r>
    </w:p>
    <w:p w14:paraId="0CF5D89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（4）咨询机构弄虚作假，与建设、施工、设计、监理和编制等单位串通，违反诚信和投标承诺等谋取非法利益或损害政府利益，一经查实，县审计局对其解除合同，并依法追究经济和法律责任。</w:t>
      </w:r>
    </w:p>
    <w:p w14:paraId="58C75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（5）对拒绝接受监督检查和管理的咨询机构，县审计局有权终止其合作资格。</w:t>
      </w:r>
    </w:p>
    <w:p w14:paraId="7235C23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（6）实行廉政建设一票否决制。委托服务期间，若发现咨询机构在审计过程中有违法违纪行为，终止合同并将违法违纪情况报相关部门依法处理。</w:t>
      </w:r>
    </w:p>
    <w:p w14:paraId="79C20A5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（7）咨询机构将审计业务转包分包的，一经查实，县审计局有权对违约咨询机构解除委托、录入黑名单等处罚，并依法追究经济和法律责任。</w:t>
      </w:r>
    </w:p>
    <w:p w14:paraId="5E30057D">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仿宋_GB2312" w:hAnsi="仿宋_GB2312" w:eastAsia="仿宋_GB2312" w:cs="仿宋_GB2312"/>
          <w:color w:val="auto"/>
          <w:sz w:val="32"/>
          <w:szCs w:val="32"/>
          <w:lang w:val="en-US" w:eastAsia="zh-CN"/>
        </w:rPr>
        <w:t>（8）咨询机构的资质被降级或吊销的，县审计局将解除委托合同，对隐瞒期间所造成的损失，依法追究其经济和法律责任。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汉仪细圆B5">
    <w:altName w:val="Microsoft JhengHei"/>
    <w:panose1 w:val="02010600000101010101"/>
    <w:charset w:val="88"/>
    <w:family w:val="auto"/>
    <w:pitch w:val="default"/>
    <w:sig w:usb0="00000000" w:usb1="00000000" w:usb2="00000002" w:usb3="00000000" w:csb0="00100000" w:csb1="00000000"/>
  </w:font>
  <w:font w:name="Microsoft JhengHei">
    <w:panose1 w:val="020B0604030504040204"/>
    <w:charset w:val="88"/>
    <w:family w:val="auto"/>
    <w:pitch w:val="default"/>
    <w:sig w:usb0="00000087" w:usb1="28AF4000" w:usb2="00000016" w:usb3="00000000" w:csb0="00100009" w:csb1="00000000"/>
  </w:font>
  <w:font w:name="汉仪瑞意宋简">
    <w:altName w:val="宋体"/>
    <w:panose1 w:val="00020600040101010101"/>
    <w:charset w:val="86"/>
    <w:family w:val="auto"/>
    <w:pitch w:val="default"/>
    <w:sig w:usb0="00000000" w:usb1="00000000"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F63B6"/>
    <w:rsid w:val="005D28AD"/>
    <w:rsid w:val="01AA3877"/>
    <w:rsid w:val="01C22B64"/>
    <w:rsid w:val="02612B5C"/>
    <w:rsid w:val="048B7990"/>
    <w:rsid w:val="07AF42E1"/>
    <w:rsid w:val="08F37637"/>
    <w:rsid w:val="09A60DC8"/>
    <w:rsid w:val="09F2657F"/>
    <w:rsid w:val="0B1F750D"/>
    <w:rsid w:val="0B667E81"/>
    <w:rsid w:val="0B917C90"/>
    <w:rsid w:val="0E6A3E69"/>
    <w:rsid w:val="115D4462"/>
    <w:rsid w:val="14EF7AC7"/>
    <w:rsid w:val="16BA2C97"/>
    <w:rsid w:val="183028D1"/>
    <w:rsid w:val="18784278"/>
    <w:rsid w:val="19C77265"/>
    <w:rsid w:val="1A3345AB"/>
    <w:rsid w:val="1B875912"/>
    <w:rsid w:val="1BE834C2"/>
    <w:rsid w:val="1EC45B21"/>
    <w:rsid w:val="1ECB28E8"/>
    <w:rsid w:val="21DE514B"/>
    <w:rsid w:val="22C2681B"/>
    <w:rsid w:val="242F687A"/>
    <w:rsid w:val="24BE3012"/>
    <w:rsid w:val="251D5F8B"/>
    <w:rsid w:val="27675BE3"/>
    <w:rsid w:val="2826784C"/>
    <w:rsid w:val="28643ED1"/>
    <w:rsid w:val="29250112"/>
    <w:rsid w:val="2AA8279A"/>
    <w:rsid w:val="2DBE1174"/>
    <w:rsid w:val="2EC447E8"/>
    <w:rsid w:val="30422D49"/>
    <w:rsid w:val="305D5DD5"/>
    <w:rsid w:val="32514A62"/>
    <w:rsid w:val="32DA54BB"/>
    <w:rsid w:val="36962041"/>
    <w:rsid w:val="380A05F1"/>
    <w:rsid w:val="388448D6"/>
    <w:rsid w:val="3C101F4E"/>
    <w:rsid w:val="42336996"/>
    <w:rsid w:val="42C43A92"/>
    <w:rsid w:val="449251BB"/>
    <w:rsid w:val="451B4616"/>
    <w:rsid w:val="45920AF2"/>
    <w:rsid w:val="49B372E3"/>
    <w:rsid w:val="49E862B8"/>
    <w:rsid w:val="4CC57286"/>
    <w:rsid w:val="4D110FBB"/>
    <w:rsid w:val="4D754306"/>
    <w:rsid w:val="51F061A7"/>
    <w:rsid w:val="559207DE"/>
    <w:rsid w:val="57877110"/>
    <w:rsid w:val="5B86192E"/>
    <w:rsid w:val="5C3A504A"/>
    <w:rsid w:val="5CFA0384"/>
    <w:rsid w:val="5D292A17"/>
    <w:rsid w:val="5DA47AE4"/>
    <w:rsid w:val="5DC50992"/>
    <w:rsid w:val="5E96511B"/>
    <w:rsid w:val="614C4F26"/>
    <w:rsid w:val="62A0552A"/>
    <w:rsid w:val="655B1BDC"/>
    <w:rsid w:val="65D200F0"/>
    <w:rsid w:val="66CD08B8"/>
    <w:rsid w:val="6C5F1FB2"/>
    <w:rsid w:val="6E423939"/>
    <w:rsid w:val="6F107A34"/>
    <w:rsid w:val="6FAE38E2"/>
    <w:rsid w:val="707E6791"/>
    <w:rsid w:val="719F449E"/>
    <w:rsid w:val="724F0D1A"/>
    <w:rsid w:val="72D8456E"/>
    <w:rsid w:val="73726A6F"/>
    <w:rsid w:val="754E7067"/>
    <w:rsid w:val="76193200"/>
    <w:rsid w:val="76806BC7"/>
    <w:rsid w:val="78AA02BF"/>
    <w:rsid w:val="79377E5C"/>
    <w:rsid w:val="7A6D7F90"/>
    <w:rsid w:val="7B4737C0"/>
    <w:rsid w:val="7B7D659C"/>
    <w:rsid w:val="7BDF6C6B"/>
    <w:rsid w:val="7DCF63B6"/>
    <w:rsid w:val="7E6F4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1688</Words>
  <Characters>1741</Characters>
  <Lines>0</Lines>
  <Paragraphs>0</Paragraphs>
  <TotalTime>37</TotalTime>
  <ScaleCrop>false</ScaleCrop>
  <LinksUpToDate>false</LinksUpToDate>
  <CharactersWithSpaces>1755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2024-12-16T03:38:00Z</dcterms:created>
  <dc:creator> </dc:creator>
  <cp:lastModifiedBy> </cp:lastModifiedBy>
  <dcterms:modified xsi:type="dcterms:W3CDTF">2026-07-14T03:24:44Z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7DDCA5F27D6D4D4C9C669F8510BD87A2_13</vt:lpwstr>
  </property>
  <property fmtid="{D5CDD505-2E9C-101B-9397-08002B2CF9AE}" pid="4" name="KSOTemplateDocerSaveRecord">
    <vt:lpwstr>eyJoZGlkIjoiY2RhYmRiYTNkNmY1NmZiM2Y1MWVhOGVkNDJmNzEzNTUiLCJ1c2VySWQiOiI2NjgzMjczNzYifQ==</vt:lpwstr>
  </property>
</Properties>
</file>