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87E2D">
      <w:pPr>
        <w:widowControl w:val="0"/>
        <w:wordWrap w:val="0"/>
        <w:autoSpaceDE/>
        <w:autoSpaceDN/>
        <w:spacing w:line="580" w:lineRule="atLeast"/>
        <w:jc w:val="center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40"/>
          <w:szCs w:val="24"/>
        </w:rPr>
        <w:t>开发区</w:t>
      </w:r>
      <w:r>
        <w:rPr>
          <w:rFonts w:ascii="Times New Roman" w:hAnsi="Times New Roman" w:eastAsia="方正小标宋简体" w:cs="方正小标宋简体"/>
          <w:sz w:val="40"/>
          <w:szCs w:val="24"/>
        </w:rPr>
        <w:t>202</w:t>
      </w:r>
      <w:r>
        <w:rPr>
          <w:rFonts w:hint="eastAsia" w:ascii="Times New Roman" w:hAnsi="Times New Roman" w:eastAsia="方正小标宋简体" w:cs="方正小标宋简体"/>
          <w:sz w:val="40"/>
          <w:szCs w:val="2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0"/>
          <w:szCs w:val="24"/>
        </w:rPr>
        <w:t>年全过程服务费</w:t>
      </w:r>
    </w:p>
    <w:p w14:paraId="5EF8E6C0">
      <w:pPr>
        <w:rPr>
          <w:rFonts w:eastAsia="Times New Roman"/>
        </w:rPr>
      </w:pPr>
    </w:p>
    <w:p w14:paraId="5DF0F9B8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outlineLvl w:val="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一、项目基本情况</w:t>
      </w:r>
    </w:p>
    <w:p w14:paraId="4C72B898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项目名称：开发区财政局全过程预算绩效管理咨询服务第三方机构采购项目</w:t>
      </w:r>
    </w:p>
    <w:p w14:paraId="52F1A8FD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outlineLvl w:val="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采购预算：</w:t>
      </w:r>
      <w:r>
        <w:rPr>
          <w:rFonts w:ascii="Times New Roman" w:hAnsi="Times New Roman" w:eastAsia="仿宋_GB2312" w:cs="仿宋_GB2312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仿宋_GB2312"/>
          <w:sz w:val="32"/>
          <w:szCs w:val="32"/>
        </w:rPr>
        <w:t>/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</w:p>
    <w:p w14:paraId="4F5704E8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/>
          <w:b/>
          <w:bCs/>
          <w:sz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采购需求（包括但不限于标的的名称、数量、简要技术需求或服务要求等，详细采购需求见附表</w:t>
      </w:r>
      <w:r>
        <w:rPr>
          <w:rFonts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</w:p>
    <w:p w14:paraId="000F6F50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服务周期：一年</w:t>
      </w:r>
    </w:p>
    <w:p w14:paraId="09164211">
      <w:pPr>
        <w:widowControl w:val="0"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工作要求</w:t>
      </w:r>
    </w:p>
    <w:p w14:paraId="0096689D">
      <w:pPr>
        <w:spacing w:line="580" w:lineRule="atLeas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bCs/>
          <w:sz w:val="32"/>
          <w:szCs w:val="32"/>
        </w:rPr>
        <w:t>须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符合国家</w:t>
      </w:r>
      <w:r>
        <w:rPr>
          <w:rFonts w:hint="eastAsia" w:ascii="Times New Roman" w:hAnsi="Times New Roman" w:eastAsia="仿宋_GB2312"/>
          <w:bCs/>
          <w:sz w:val="32"/>
          <w:szCs w:val="32"/>
        </w:rPr>
        <w:t>及行业相关规定规范及采购人的要求；</w:t>
      </w:r>
    </w:p>
    <w:p w14:paraId="29747B64">
      <w:pPr>
        <w:spacing w:line="580" w:lineRule="atLeas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）甲方负责提供办公场所，乙方需提供长期驻场服务，常驻人员不少于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人。</w:t>
      </w:r>
    </w:p>
    <w:p w14:paraId="7261193D">
      <w:pPr>
        <w:spacing w:line="580" w:lineRule="atLeas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二、投标人资格要求</w:t>
      </w:r>
    </w:p>
    <w:p w14:paraId="58F32D22">
      <w:pPr>
        <w:kinsoku/>
        <w:wordWrap w:val="0"/>
        <w:autoSpaceDE/>
        <w:autoSpaceDN/>
        <w:spacing w:line="580" w:lineRule="atLeast"/>
        <w:ind w:firstLine="640" w:firstLineChars="200"/>
        <w:jc w:val="both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落实政府采购政策满足的资格要求：</w:t>
      </w:r>
    </w:p>
    <w:p w14:paraId="5FBBF6EA">
      <w:pPr>
        <w:widowControl w:val="0"/>
        <w:kinsoku/>
        <w:wordWrap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本项目执行促进中小型企业发展政策（残疾人福利性企业视同小微企业）、强制采购节能产品、优先采购节能环保产品、优先采购国货等政府采购政策。</w:t>
      </w:r>
    </w:p>
    <w:p w14:paraId="62F8F1BB">
      <w:pPr>
        <w:widowControl w:val="0"/>
        <w:kinsoku/>
        <w:wordWrap w:val="0"/>
        <w:topLinePunct/>
        <w:autoSpaceDE/>
        <w:autoSpaceDN/>
        <w:spacing w:line="580" w:lineRule="atLeast"/>
        <w:ind w:firstLine="640" w:firstLineChars="200"/>
        <w:jc w:val="both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本项目的特定资格要求</w:t>
      </w:r>
    </w:p>
    <w:p w14:paraId="706C2C9D">
      <w:pPr>
        <w:widowControl w:val="0"/>
        <w:kinsoku/>
        <w:wordWrap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符合《中华人民共和国政府采购法》第二十二条规定：</w:t>
      </w:r>
    </w:p>
    <w:p w14:paraId="74DF22C2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）具有独立承担民事责任能力的法人或其他组织，具有有效的营业执照；</w:t>
      </w:r>
    </w:p>
    <w:p w14:paraId="381E2513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）具有良好的商业信誉和健全的财务会计制度；（提供银行出具的资信证明）；</w:t>
      </w:r>
    </w:p>
    <w:p w14:paraId="5CA2682C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）具有履行合同所必需的设备和专业技术能力（提供承诺函，格式自拟）；</w:t>
      </w:r>
    </w:p>
    <w:p w14:paraId="0209E967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）有依法缴纳税收和社会保障资金的良好记录（提供</w:t>
      </w:r>
      <w:r>
        <w:rPr>
          <w:rFonts w:ascii="Times New Roman" w:hAnsi="Times New Roman" w:eastAsia="仿宋_GB2312" w:cs="Times New Roman"/>
          <w:sz w:val="32"/>
          <w:szCs w:val="32"/>
        </w:rPr>
        <w:t>2024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月以来连续三个月缴纳的税收和社保凭据；注：依法免税或不需要缴纳社会保障资金的投标人，应提供相应文件证明其依法免税或不需要缴纳社会保障资金）；</w:t>
      </w:r>
    </w:p>
    <w:p w14:paraId="29655832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）参加政府采购活动前三年内，在经营活动中没有重大违法记录（提供承诺函，格式自拟）；</w:t>
      </w:r>
    </w:p>
    <w:p w14:paraId="65C934E9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）法律、行政法规规定的其他条件。</w:t>
      </w:r>
    </w:p>
    <w:p w14:paraId="27F80888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投标人必须具有项目资金绩效评价、部门整体绩效评价、事前绩效评估、绩效管理咨询服务业绩，业绩部分有通报表扬者优先；</w:t>
      </w:r>
    </w:p>
    <w:p w14:paraId="152AE6AA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项目负责人须满足财政部《第三方机构预算绩效评价业务监督管理暂行办法》（财监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号）第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条规定，具备中高级职称或注册会计师、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高级工程师、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评估师、律师、内审师、绩效评价师等相关行业管理部门认可的专业资质；</w:t>
      </w:r>
    </w:p>
    <w:p w14:paraId="29ED9C3A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根据《关于在政府采购活动中查询及使用信用记录有关问题的通知》（财库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125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号）和（豫财购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15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号）的规定，对列入失信被执行人、重大税收违法案件当事人名单、政府采购严重违法失信行为记录名单的投标人，拒绝参与本项目采购活动【信用信息查询渠道：“信用中国”网站（</w:t>
      </w:r>
      <w:r>
        <w:rPr>
          <w:rFonts w:ascii="Times New Roman" w:hAnsi="Times New Roman" w:eastAsia="仿宋_GB2312" w:cs="Times New Roman"/>
          <w:sz w:val="32"/>
          <w:szCs w:val="32"/>
        </w:rPr>
        <w:t>www.creditchina.gov.cn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）和“中国政府采购网”（</w:t>
      </w:r>
      <w:r>
        <w:rPr>
          <w:rFonts w:ascii="Times New Roman" w:hAnsi="Times New Roman" w:eastAsia="仿宋_GB2312" w:cs="Times New Roman"/>
          <w:sz w:val="32"/>
          <w:szCs w:val="32"/>
        </w:rPr>
        <w:t>www.ccgp.gov.cn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）】的网页信用记录查询结果截图并加盖投标单位公章，查询时间需在本公告发布之后；</w:t>
      </w:r>
    </w:p>
    <w:p w14:paraId="044C1F19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单位负责人为同一人或者存在控股、管理关系的不同单位，不得同时参加投标；法定代表人为同一人的两个以上法人、母公司、全资子公司及存在控股关系的公司不得同时参加同一标段的投标（提供“国家企业信用信息公示系统”查询网页，查询内容包含公司基本情况、股东信息及股权变更信息）；</w:t>
      </w:r>
    </w:p>
    <w:p w14:paraId="224F5CF7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本次竞价不接受联合体投标。</w:t>
      </w:r>
    </w:p>
    <w:p w14:paraId="052E5E12">
      <w:pPr>
        <w:widowControl w:val="0"/>
        <w:kinsoku/>
        <w:wordWrap w:val="0"/>
        <w:overflowPunct w:val="0"/>
        <w:topLinePunct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符合以上条件的竞价单位应在本次竞价结束之后一个工作日内，由法人将上述材料（需逐页加盖公章）报送开发区财政局</w:t>
      </w:r>
      <w:r>
        <w:rPr>
          <w:rFonts w:ascii="Times New Roman" w:hAnsi="Times New Roman" w:eastAsia="仿宋_GB2312" w:cs="Times New Roman"/>
          <w:sz w:val="32"/>
          <w:szCs w:val="32"/>
        </w:rPr>
        <w:t>802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房间进行核验，否则报价无效。</w:t>
      </w:r>
    </w:p>
    <w:p w14:paraId="716781FD">
      <w:pPr>
        <w:kinsoku/>
        <w:wordWrap w:val="0"/>
        <w:autoSpaceDE/>
        <w:autoSpaceDN/>
        <w:spacing w:line="580" w:lineRule="atLeast"/>
        <w:ind w:firstLine="640" w:firstLineChars="200"/>
        <w:jc w:val="both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三、凡对本次采购提出询问，请按以下方式联系。</w:t>
      </w:r>
    </w:p>
    <w:p w14:paraId="3BFA61E1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采购人信息</w:t>
      </w:r>
    </w:p>
    <w:p w14:paraId="61173967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名称：开发区财政局</w:t>
      </w:r>
    </w:p>
    <w:p w14:paraId="624B67A9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地址：驻马店市洪河大道西段</w:t>
      </w:r>
      <w:r>
        <w:rPr>
          <w:rFonts w:ascii="Times New Roman" w:hAnsi="Times New Roman" w:eastAsia="仿宋_GB2312" w:cs="Times New Roman"/>
          <w:sz w:val="32"/>
          <w:szCs w:val="32"/>
        </w:rPr>
        <w:t>666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</w:t>
      </w:r>
    </w:p>
    <w:p w14:paraId="5032D045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女士</w:t>
      </w:r>
    </w:p>
    <w:p w14:paraId="35E4CFBF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ascii="Times New Roman" w:hAnsi="Times New Roman" w:eastAsia="仿宋_GB2312" w:cs="Times New Roman"/>
          <w:sz w:val="32"/>
          <w:szCs w:val="32"/>
        </w:rPr>
        <w:t>0396-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2636889</w:t>
      </w:r>
      <w:bookmarkStart w:id="0" w:name="_GoBack"/>
      <w:bookmarkEnd w:id="0"/>
    </w:p>
    <w:p w14:paraId="3591888F">
      <w:pPr>
        <w:kinsoku/>
        <w:wordWrap w:val="0"/>
        <w:autoSpaceDE/>
        <w:autoSpaceDN/>
        <w:spacing w:line="580" w:lineRule="atLeast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7B6BFC49">
      <w:pPr>
        <w:kinsoku/>
        <w:wordWrap w:val="0"/>
        <w:autoSpaceDE/>
        <w:autoSpaceDN/>
        <w:spacing w:line="580" w:lineRule="atLeas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4C7CB47A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6A93661D">
      <w:pPr>
        <w:pStyle w:val="2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3"/>
        <w:tblW w:w="135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737"/>
        <w:gridCol w:w="2658"/>
        <w:gridCol w:w="7205"/>
      </w:tblGrid>
      <w:tr w14:paraId="234EC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135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6CD17">
            <w:pPr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  <w:t>开发区</w:t>
            </w:r>
            <w:r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  <w:t>年全过程预算绩效管理服务采购清单</w:t>
            </w:r>
          </w:p>
        </w:tc>
      </w:tr>
      <w:tr w14:paraId="310D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81335">
            <w:pPr>
              <w:jc w:val="center"/>
              <w:textAlignment w:val="center"/>
              <w:rPr>
                <w:rFonts w:asci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编号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F0927">
            <w:pPr>
              <w:jc w:val="center"/>
              <w:textAlignment w:val="center"/>
              <w:rPr>
                <w:rFonts w:asci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购买服务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F5C82">
            <w:pPr>
              <w:jc w:val="center"/>
              <w:textAlignment w:val="center"/>
              <w:rPr>
                <w:rFonts w:asci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具体内容</w:t>
            </w:r>
          </w:p>
        </w:tc>
      </w:tr>
      <w:tr w14:paraId="33BF7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32A65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90623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事前绩效评估管理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0E0BD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</w:t>
            </w:r>
            <w:r>
              <w:rPr>
                <w:rStyle w:val="29"/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Style w:val="29"/>
                <w:rFonts w:hint="eastAsia"/>
                <w:sz w:val="21"/>
                <w:szCs w:val="21"/>
              </w:rPr>
              <w:t>开展新增项目事前绩效评估</w:t>
            </w:r>
            <w:r>
              <w:rPr>
                <w:rStyle w:val="29"/>
                <w:rFonts w:hint="eastAsia"/>
                <w:sz w:val="21"/>
                <w:szCs w:val="21"/>
                <w:lang w:val="en-US" w:eastAsia="zh-CN"/>
              </w:rPr>
              <w:t>培训</w:t>
            </w:r>
            <w:r>
              <w:rPr>
                <w:rStyle w:val="29"/>
                <w:rFonts w:hint="eastAsia"/>
                <w:sz w:val="21"/>
                <w:szCs w:val="21"/>
              </w:rPr>
              <w:t>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审核、反馈并整理事前绩效评估报告及相关附件，形成事前绩效评估审核意见表及评估项目情况汇总表；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根据事前绩效评估结果，出具事前绩效评估结果应用的报告。</w:t>
            </w:r>
          </w:p>
        </w:tc>
      </w:tr>
      <w:tr w14:paraId="4D875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6D842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29186">
            <w:pPr>
              <w:jc w:val="center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绩效目标管理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8301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</w:t>
            </w:r>
            <w:r>
              <w:rPr>
                <w:rStyle w:val="29"/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Style w:val="29"/>
                <w:rFonts w:hint="eastAsia"/>
                <w:sz w:val="21"/>
                <w:szCs w:val="21"/>
              </w:rPr>
              <w:t>开展度绩效目标管理培训；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组织并审核所有预算单位开展部门预算资金（含项目支出及部门单位整体支出）、专项资金、债券资金等绩效目标，落实四本账绩效目标全覆盖，反馈并整理所有项目资金绩效目标及部门整体支出绩效目标，形成绩效目标汇总表、审核意见表、绩效目标审核报告。</w:t>
            </w:r>
          </w:p>
        </w:tc>
      </w:tr>
      <w:tr w14:paraId="65087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247C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A0404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绩效监控管理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83975">
            <w:pPr>
              <w:jc w:val="center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常规监控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235B8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</w:t>
            </w:r>
            <w:r>
              <w:rPr>
                <w:rStyle w:val="29"/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Style w:val="29"/>
                <w:rFonts w:hint="eastAsia"/>
                <w:sz w:val="21"/>
                <w:szCs w:val="21"/>
              </w:rPr>
              <w:t>开展绩效监控运行培训；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组织开展</w:t>
            </w:r>
            <w:r>
              <w:rPr>
                <w:rStyle w:val="30"/>
                <w:sz w:val="21"/>
                <w:szCs w:val="21"/>
              </w:rPr>
              <w:t>8</w:t>
            </w:r>
            <w:r>
              <w:rPr>
                <w:rStyle w:val="29"/>
                <w:rFonts w:hint="eastAsia"/>
                <w:sz w:val="21"/>
                <w:szCs w:val="21"/>
              </w:rPr>
              <w:t>月项目支出绩效监控；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Style w:val="29"/>
                <w:rFonts w:hint="eastAsia"/>
                <w:sz w:val="21"/>
                <w:szCs w:val="21"/>
              </w:rPr>
              <w:t>月部门（单位）整体支出绩效监控；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编制项目支出绩效监控汇总报告文本、整体支出绩效监控报告文本及制作绩效监控表格；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4.</w:t>
            </w:r>
            <w:r>
              <w:rPr>
                <w:rStyle w:val="29"/>
                <w:rFonts w:hint="eastAsia"/>
                <w:sz w:val="21"/>
                <w:szCs w:val="21"/>
              </w:rPr>
              <w:t>审核、反馈并整理项目支出</w:t>
            </w:r>
            <w:r>
              <w:rPr>
                <w:rStyle w:val="30"/>
                <w:sz w:val="21"/>
                <w:szCs w:val="21"/>
              </w:rPr>
              <w:t>8</w:t>
            </w:r>
            <w:r>
              <w:rPr>
                <w:rStyle w:val="29"/>
                <w:rFonts w:hint="eastAsia"/>
                <w:sz w:val="21"/>
                <w:szCs w:val="21"/>
              </w:rPr>
              <w:t>月监控运行表、绩效监控汇总报告；审核、反馈并整理整体支出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Style w:val="29"/>
                <w:rFonts w:hint="eastAsia"/>
                <w:sz w:val="21"/>
                <w:szCs w:val="21"/>
              </w:rPr>
              <w:t>绩效监控表及监控报告；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5.</w:t>
            </w:r>
            <w:r>
              <w:rPr>
                <w:rStyle w:val="29"/>
                <w:rFonts w:hint="eastAsia"/>
                <w:sz w:val="21"/>
                <w:szCs w:val="21"/>
              </w:rPr>
              <w:t>向委托方汇报绩效监控结果，并协助委托方进行绩效监控结果应用。</w:t>
            </w:r>
          </w:p>
        </w:tc>
      </w:tr>
      <w:tr w14:paraId="656BA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17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6FC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76CA62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重点监控</w:t>
            </w:r>
          </w:p>
        </w:tc>
        <w:tc>
          <w:tcPr>
            <w:tcW w:w="72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6CC92B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按实际工作需求或上级要求，</w:t>
            </w:r>
            <w:r>
              <w:rPr>
                <w:rStyle w:val="29"/>
                <w:rFonts w:hint="eastAsia"/>
                <w:sz w:val="21"/>
                <w:szCs w:val="21"/>
              </w:rPr>
              <w:t>开展项目重点绩效监控（重点监控对象由委托方确定），制定重点绩效监控工作方案；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向被监控单位出具监控问题反馈表、反馈问题清单等，并出具财政重点绩效监控报告；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协助委托方督促被监控单位整改落实到位。</w:t>
            </w:r>
          </w:p>
        </w:tc>
      </w:tr>
      <w:tr w14:paraId="29FE8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4A7140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A4FFE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绩效评价管理</w:t>
            </w: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50023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绩效自评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80E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按实际工作需求或上级要求，</w:t>
            </w:r>
            <w:r>
              <w:rPr>
                <w:rStyle w:val="29"/>
                <w:rFonts w:hint="eastAsia"/>
                <w:sz w:val="21"/>
                <w:szCs w:val="21"/>
              </w:rPr>
              <w:t>开展绩效自评培训；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编制项目支出绩效自评汇总报告文本、整体支出绩效自评报告文本及制作绩效自评表格；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审核、反馈并整理项目支出绩效自评表、自评汇总报告、整体支出绩效自评表、自评报告，形成绩效自评审核评分表、绩效自评信息汇总表。</w:t>
            </w:r>
          </w:p>
        </w:tc>
      </w:tr>
      <w:tr w14:paraId="63EBC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E5CA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AB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9844F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财政重点绩效评价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2B00E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</w:t>
            </w:r>
            <w:r>
              <w:rPr>
                <w:rStyle w:val="29"/>
                <w:rFonts w:hint="eastAsia"/>
                <w:sz w:val="21"/>
                <w:szCs w:val="21"/>
              </w:rPr>
              <w:t>，开展财政重点绩效评价，其中财政重点项目绩效评价</w:t>
            </w:r>
            <w:r>
              <w:rPr>
                <w:rStyle w:val="30"/>
                <w:sz w:val="21"/>
                <w:szCs w:val="21"/>
              </w:rPr>
              <w:t>5</w:t>
            </w:r>
            <w:r>
              <w:rPr>
                <w:rStyle w:val="29"/>
                <w:rFonts w:hint="eastAsia"/>
                <w:sz w:val="21"/>
                <w:szCs w:val="21"/>
              </w:rPr>
              <w:t>个，部门（单位）整体支出绩效评价</w:t>
            </w:r>
            <w:r>
              <w:rPr>
                <w:rStyle w:val="30"/>
                <w:sz w:val="21"/>
                <w:szCs w:val="21"/>
              </w:rPr>
              <w:t>1</w:t>
            </w:r>
            <w:r>
              <w:rPr>
                <w:rStyle w:val="29"/>
                <w:rFonts w:hint="eastAsia"/>
                <w:sz w:val="21"/>
                <w:szCs w:val="21"/>
              </w:rPr>
              <w:t>个；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开展部门评价工作，组织部门评价培训、编制部门评价报告文本，指导、审核、反馈并整理项目部门评价报告；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出具绩效评价结果总结报告。</w:t>
            </w:r>
          </w:p>
        </w:tc>
      </w:tr>
      <w:tr w14:paraId="261C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E49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46E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E491C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绩效自评抽查复核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C391E">
            <w:pPr>
              <w:jc w:val="both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30"/>
                <w:sz w:val="21"/>
                <w:szCs w:val="21"/>
              </w:rPr>
              <w:t>1.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按实际工作需求或上级要求，</w:t>
            </w:r>
            <w:r>
              <w:rPr>
                <w:rStyle w:val="29"/>
                <w:rFonts w:hint="eastAsia"/>
                <w:sz w:val="21"/>
                <w:szCs w:val="21"/>
              </w:rPr>
              <w:t>开展制定绩效自评抽查复核工作方案、绩效自评抽查复核工作通知；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2.</w:t>
            </w:r>
            <w:r>
              <w:rPr>
                <w:rStyle w:val="29"/>
                <w:rFonts w:hint="eastAsia"/>
                <w:sz w:val="21"/>
                <w:szCs w:val="21"/>
              </w:rPr>
              <w:t>收集资料复核项目支出绩效自评表及整体支出绩效自评表，形成问题反馈意见表及问题汇总清单；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3.</w:t>
            </w:r>
            <w:r>
              <w:rPr>
                <w:rStyle w:val="29"/>
                <w:rFonts w:hint="eastAsia"/>
                <w:sz w:val="21"/>
                <w:szCs w:val="21"/>
              </w:rPr>
              <w:t>向被抽查单位反馈绩效自评抽查问题清单并督促单位整改；</w:t>
            </w:r>
            <w:r>
              <w:rPr>
                <w:rStyle w:val="30"/>
                <w:sz w:val="21"/>
                <w:szCs w:val="21"/>
              </w:rPr>
              <w:br w:type="textWrapping"/>
            </w:r>
            <w:r>
              <w:rPr>
                <w:rStyle w:val="30"/>
                <w:sz w:val="21"/>
                <w:szCs w:val="21"/>
              </w:rPr>
              <w:t>4.</w:t>
            </w:r>
            <w:r>
              <w:rPr>
                <w:rStyle w:val="29"/>
                <w:rFonts w:hint="eastAsia"/>
                <w:sz w:val="21"/>
                <w:szCs w:val="21"/>
              </w:rPr>
              <w:t>整理并汇总绩效自评抽查复核档案材料。</w:t>
            </w:r>
          </w:p>
        </w:tc>
      </w:tr>
      <w:tr w14:paraId="5667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8C6ADFE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A8C9F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成本绩效工作推进与开展</w:t>
            </w:r>
          </w:p>
        </w:tc>
        <w:tc>
          <w:tcPr>
            <w:tcW w:w="986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77E08">
            <w:pPr>
              <w:tabs>
                <w:tab w:val="left" w:pos="1867"/>
              </w:tabs>
              <w:jc w:val="both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根据中央、省、市最新出台的相关预算</w:t>
            </w:r>
            <w:r>
              <w:rPr>
                <w:rStyle w:val="29"/>
                <w:rFonts w:hint="eastAsia"/>
                <w:sz w:val="21"/>
                <w:szCs w:val="21"/>
                <w:lang w:val="en-US" w:eastAsia="zh-CN"/>
              </w:rPr>
              <w:t>成本</w:t>
            </w:r>
            <w:r>
              <w:rPr>
                <w:rStyle w:val="29"/>
                <w:rFonts w:hint="eastAsia"/>
                <w:sz w:val="21"/>
                <w:szCs w:val="21"/>
              </w:rPr>
              <w:t>绩效管理办法，结合开发区实际</w:t>
            </w:r>
            <w:r>
              <w:rPr>
                <w:rStyle w:val="29"/>
                <w:rFonts w:hint="eastAsia"/>
                <w:sz w:val="21"/>
                <w:szCs w:val="21"/>
                <w:lang w:val="en-US" w:eastAsia="zh-CN"/>
              </w:rPr>
              <w:t>完成成本绩效制度建设，并根据上级要求完成全年成本绩效相关工作。</w:t>
            </w:r>
          </w:p>
        </w:tc>
      </w:tr>
      <w:tr w14:paraId="6D34B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52BC1">
            <w:pPr>
              <w:jc w:val="center"/>
              <w:textAlignment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06EA2">
            <w:pPr>
              <w:jc w:val="center"/>
              <w:textAlignment w:val="center"/>
              <w:rPr>
                <w:rStyle w:val="29"/>
                <w:rFonts w:hAnsi="Arial"/>
                <w:sz w:val="21"/>
                <w:szCs w:val="21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预算绩效管理制度体系建设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BDB51">
            <w:pPr>
              <w:jc w:val="both"/>
              <w:textAlignment w:val="center"/>
              <w:rPr>
                <w:rStyle w:val="29"/>
                <w:rFonts w:hAnsi="Arial"/>
                <w:sz w:val="21"/>
                <w:szCs w:val="21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根据中央、省、市最新出台的相关预算绩效管理办法，结合开发区实际，协助财政部门完善并健全开发区预算绩效管理制度或相关管理办法，加强开发区预算绩效管理制度体系建设，打造富有开发区特色的制度亮点。</w:t>
            </w:r>
          </w:p>
        </w:tc>
      </w:tr>
      <w:tr w14:paraId="4CA22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CDAD6">
            <w:pPr>
              <w:jc w:val="center"/>
              <w:textAlignment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F8714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全面实施预算绩效管理工作考核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BCE7B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制定全区预算绩效管理工作考核标准及考核内容，对全区所有部门单位预算绩效管理工作进行考核，形成考核结果报告。</w:t>
            </w:r>
          </w:p>
        </w:tc>
      </w:tr>
      <w:tr w14:paraId="4430E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45A7A">
            <w:pPr>
              <w:jc w:val="center"/>
              <w:textAlignment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4BCD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预算绩效管理年度汇总整理工作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5F388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根据上级工作要求，整理并报送预算绩效管理考核材料，包括但不限于总结报告、先进做法及证明材料。</w:t>
            </w:r>
          </w:p>
        </w:tc>
      </w:tr>
      <w:tr w14:paraId="25E15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EA6E1">
            <w:pPr>
              <w:jc w:val="center"/>
              <w:textAlignment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EFE9D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绩效宣传工作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FB8B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充分利用主流媒体，加大预算绩效管理宣传力度，发布宣传稿件不少于</w:t>
            </w:r>
            <w:r>
              <w:rPr>
                <w:rStyle w:val="29"/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Style w:val="29"/>
                <w:rFonts w:hint="eastAsia"/>
                <w:sz w:val="21"/>
                <w:szCs w:val="21"/>
              </w:rPr>
              <w:t>篇。</w:t>
            </w:r>
          </w:p>
        </w:tc>
      </w:tr>
      <w:tr w14:paraId="7B88D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D0EF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534AD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绩效信息公开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E8284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协助委托方公开项目支出和整体支出绩效目标、公开财政重点绩效评价、部门评价报告及评价结果等内容。</w:t>
            </w:r>
          </w:p>
        </w:tc>
      </w:tr>
      <w:tr w14:paraId="04501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CD9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8ADE7">
            <w:pPr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绩效管理培训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7EF0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Style w:val="29"/>
                <w:rFonts w:hint="eastAsia"/>
                <w:sz w:val="21"/>
                <w:szCs w:val="21"/>
              </w:rPr>
              <w:t>培训形式不限，开展预算绩效管理培训不少于</w:t>
            </w:r>
            <w:r>
              <w:rPr>
                <w:rStyle w:val="30"/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Style w:val="29"/>
                <w:rFonts w:hint="eastAsia"/>
                <w:sz w:val="21"/>
                <w:szCs w:val="21"/>
              </w:rPr>
              <w:t>次。</w:t>
            </w:r>
          </w:p>
        </w:tc>
      </w:tr>
      <w:tr w14:paraId="46C09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DC5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239BF">
            <w:pPr>
              <w:jc w:val="center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与预算绩效管理相关工作</w:t>
            </w:r>
          </w:p>
        </w:tc>
        <w:tc>
          <w:tcPr>
            <w:tcW w:w="9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3C616">
            <w:pPr>
              <w:jc w:val="both"/>
              <w:textAlignment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委托方及上级财政部门安排（下达）的预算绩效管理相关工作。</w:t>
            </w:r>
          </w:p>
        </w:tc>
      </w:tr>
    </w:tbl>
    <w:p w14:paraId="45BF3BE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3C2D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6A8CDD">
                          <w:pPr>
                            <w:pStyle w:val="8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A8CDD">
                    <w:pPr>
                      <w:pStyle w:val="8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AF73F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538A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EBB84">
    <w:pPr>
      <w:pStyle w:val="9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C5EBE">
    <w:pPr>
      <w:pStyle w:val="9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E62B9">
    <w:pPr>
      <w:pStyle w:val="9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05CD5D"/>
    <w:multiLevelType w:val="singleLevel"/>
    <w:tmpl w:val="A605CD5D"/>
    <w:lvl w:ilvl="0" w:tentative="0">
      <w:start w:val="1"/>
      <w:numFmt w:val="decimalEnclosedCircleChinese"/>
      <w:pStyle w:val="11"/>
      <w:suff w:val="nothing"/>
      <w:lvlText w:val="%1　"/>
      <w:lvlJc w:val="left"/>
      <w:pPr>
        <w:ind w:firstLine="400"/>
      </w:pPr>
      <w:rPr>
        <w:rFonts w:hint="eastAsia" w:cs="Times New Roman"/>
      </w:rPr>
    </w:lvl>
  </w:abstractNum>
  <w:abstractNum w:abstractNumId="1">
    <w:nsid w:val="18EC5798"/>
    <w:multiLevelType w:val="multilevel"/>
    <w:tmpl w:val="18EC5798"/>
    <w:lvl w:ilvl="0" w:tentative="0">
      <w:start w:val="1"/>
      <w:numFmt w:val="none"/>
      <w:suff w:val="nothing"/>
      <w:lvlText w:val=""/>
      <w:lvlJc w:val="left"/>
      <w:pPr>
        <w:ind w:firstLine="720"/>
      </w:pPr>
      <w:rPr>
        <w:rFonts w:hint="eastAsia" w:cs="Times New Roman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1260"/>
      </w:pPr>
      <w:rPr>
        <w:rFonts w:hint="eastAsia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2"/>
      <w:suff w:val="space"/>
      <w:lvlText w:val="%3."/>
      <w:lvlJc w:val="left"/>
      <w:rPr>
        <w:rFonts w:hint="eastAsia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left="426"/>
      </w:pPr>
      <w:rPr>
        <w:rFonts w:hint="eastAsia" w:cs="Times New Roman"/>
      </w:rPr>
    </w:lvl>
    <w:lvl w:ilvl="4" w:tentative="0">
      <w:start w:val="1"/>
      <w:numFmt w:val="decimal"/>
      <w:suff w:val="nothing"/>
      <w:lvlText w:val="%5）"/>
      <w:lvlJc w:val="left"/>
      <w:pPr>
        <w:ind w:left="142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MTlmOTIzNGJiMzg0MTY4OGQwMjczNTQ5NzUzMDEifQ=="/>
  </w:docVars>
  <w:rsids>
    <w:rsidRoot w:val="7FDA0996"/>
    <w:rsid w:val="000124F8"/>
    <w:rsid w:val="001570FF"/>
    <w:rsid w:val="00393C6B"/>
    <w:rsid w:val="003A78F3"/>
    <w:rsid w:val="003E1407"/>
    <w:rsid w:val="00440495"/>
    <w:rsid w:val="004C656E"/>
    <w:rsid w:val="00577CB6"/>
    <w:rsid w:val="0061059F"/>
    <w:rsid w:val="007A6831"/>
    <w:rsid w:val="007D5165"/>
    <w:rsid w:val="0080723E"/>
    <w:rsid w:val="008606F0"/>
    <w:rsid w:val="00872DFE"/>
    <w:rsid w:val="00886397"/>
    <w:rsid w:val="009A6D0D"/>
    <w:rsid w:val="00A40FE1"/>
    <w:rsid w:val="00A41108"/>
    <w:rsid w:val="00AC259D"/>
    <w:rsid w:val="00BB104C"/>
    <w:rsid w:val="00C0395E"/>
    <w:rsid w:val="00C30E52"/>
    <w:rsid w:val="00CB0DDF"/>
    <w:rsid w:val="00D556A8"/>
    <w:rsid w:val="00DC011C"/>
    <w:rsid w:val="00E7784F"/>
    <w:rsid w:val="00EA79DC"/>
    <w:rsid w:val="00F553DF"/>
    <w:rsid w:val="00F608DD"/>
    <w:rsid w:val="00F81A74"/>
    <w:rsid w:val="0100333F"/>
    <w:rsid w:val="013E61E2"/>
    <w:rsid w:val="018F2EE2"/>
    <w:rsid w:val="01924281"/>
    <w:rsid w:val="034858F1"/>
    <w:rsid w:val="03C52BEB"/>
    <w:rsid w:val="04357D70"/>
    <w:rsid w:val="0446141C"/>
    <w:rsid w:val="04C25021"/>
    <w:rsid w:val="051F7D74"/>
    <w:rsid w:val="053555C8"/>
    <w:rsid w:val="05AD3936"/>
    <w:rsid w:val="0671705A"/>
    <w:rsid w:val="06916C0C"/>
    <w:rsid w:val="073B6DDF"/>
    <w:rsid w:val="083D71F3"/>
    <w:rsid w:val="088F0D19"/>
    <w:rsid w:val="097E3F67"/>
    <w:rsid w:val="09847929"/>
    <w:rsid w:val="0A1026E6"/>
    <w:rsid w:val="0A4A1D73"/>
    <w:rsid w:val="0A914CC8"/>
    <w:rsid w:val="0D136775"/>
    <w:rsid w:val="0D627622"/>
    <w:rsid w:val="0EAA7F49"/>
    <w:rsid w:val="0EC50083"/>
    <w:rsid w:val="0EC75A69"/>
    <w:rsid w:val="0F145DCE"/>
    <w:rsid w:val="0F3F1AA3"/>
    <w:rsid w:val="0FE4089C"/>
    <w:rsid w:val="108F3FC5"/>
    <w:rsid w:val="10D821AF"/>
    <w:rsid w:val="119B31DD"/>
    <w:rsid w:val="12E12E71"/>
    <w:rsid w:val="14833235"/>
    <w:rsid w:val="14E70D5B"/>
    <w:rsid w:val="15215872"/>
    <w:rsid w:val="15637A89"/>
    <w:rsid w:val="15F07F9B"/>
    <w:rsid w:val="164B3423"/>
    <w:rsid w:val="16573B76"/>
    <w:rsid w:val="17B63EF5"/>
    <w:rsid w:val="18BD1C8B"/>
    <w:rsid w:val="198C24B5"/>
    <w:rsid w:val="199A6579"/>
    <w:rsid w:val="19CC4106"/>
    <w:rsid w:val="19D9182A"/>
    <w:rsid w:val="1A686A28"/>
    <w:rsid w:val="1BA11DBE"/>
    <w:rsid w:val="1C586C96"/>
    <w:rsid w:val="1C7F5BD5"/>
    <w:rsid w:val="1D170C45"/>
    <w:rsid w:val="1DD41C9B"/>
    <w:rsid w:val="1EAA105C"/>
    <w:rsid w:val="1EE109CC"/>
    <w:rsid w:val="1EF00E3D"/>
    <w:rsid w:val="1F242A63"/>
    <w:rsid w:val="1FCE6A08"/>
    <w:rsid w:val="209A40DC"/>
    <w:rsid w:val="21BF5A48"/>
    <w:rsid w:val="221C2118"/>
    <w:rsid w:val="24545B99"/>
    <w:rsid w:val="25057075"/>
    <w:rsid w:val="25057B71"/>
    <w:rsid w:val="2506218F"/>
    <w:rsid w:val="25AC730F"/>
    <w:rsid w:val="25E43F07"/>
    <w:rsid w:val="261B306C"/>
    <w:rsid w:val="26606A77"/>
    <w:rsid w:val="26CD282A"/>
    <w:rsid w:val="270A0167"/>
    <w:rsid w:val="289F4C3E"/>
    <w:rsid w:val="29D94111"/>
    <w:rsid w:val="29DA5A8A"/>
    <w:rsid w:val="2A6D3830"/>
    <w:rsid w:val="2AB17995"/>
    <w:rsid w:val="2B0C0F7B"/>
    <w:rsid w:val="2B56618E"/>
    <w:rsid w:val="2C315EC0"/>
    <w:rsid w:val="2C576226"/>
    <w:rsid w:val="2CEB5AA8"/>
    <w:rsid w:val="2D3B281A"/>
    <w:rsid w:val="2D7246F9"/>
    <w:rsid w:val="2DC1753F"/>
    <w:rsid w:val="2E621278"/>
    <w:rsid w:val="2EAF2C33"/>
    <w:rsid w:val="2EBB2769"/>
    <w:rsid w:val="2F471833"/>
    <w:rsid w:val="2F6A7056"/>
    <w:rsid w:val="313E5C07"/>
    <w:rsid w:val="315A2315"/>
    <w:rsid w:val="3205524D"/>
    <w:rsid w:val="321206A3"/>
    <w:rsid w:val="333A0650"/>
    <w:rsid w:val="33522D27"/>
    <w:rsid w:val="34095DDC"/>
    <w:rsid w:val="34684D49"/>
    <w:rsid w:val="34BD2340"/>
    <w:rsid w:val="354E178B"/>
    <w:rsid w:val="386F66A6"/>
    <w:rsid w:val="38910D12"/>
    <w:rsid w:val="39423DBA"/>
    <w:rsid w:val="39735ECA"/>
    <w:rsid w:val="39FA28E7"/>
    <w:rsid w:val="3AA17876"/>
    <w:rsid w:val="3ADF4004"/>
    <w:rsid w:val="3B4A504D"/>
    <w:rsid w:val="4004213D"/>
    <w:rsid w:val="40311972"/>
    <w:rsid w:val="40987A80"/>
    <w:rsid w:val="40A86BF9"/>
    <w:rsid w:val="431E5C0A"/>
    <w:rsid w:val="4357179D"/>
    <w:rsid w:val="443B35F6"/>
    <w:rsid w:val="44886480"/>
    <w:rsid w:val="453F0A95"/>
    <w:rsid w:val="461C0AA8"/>
    <w:rsid w:val="47522474"/>
    <w:rsid w:val="477619FE"/>
    <w:rsid w:val="47797541"/>
    <w:rsid w:val="48DD7223"/>
    <w:rsid w:val="497B0C92"/>
    <w:rsid w:val="4A3459A1"/>
    <w:rsid w:val="4BC15012"/>
    <w:rsid w:val="4BDA567B"/>
    <w:rsid w:val="4DBA2EF1"/>
    <w:rsid w:val="4E0F7415"/>
    <w:rsid w:val="4E131F6F"/>
    <w:rsid w:val="4EA36A0E"/>
    <w:rsid w:val="4F3C491A"/>
    <w:rsid w:val="4FAD5FDA"/>
    <w:rsid w:val="4FDD0F6C"/>
    <w:rsid w:val="506010C6"/>
    <w:rsid w:val="508A5315"/>
    <w:rsid w:val="510B789B"/>
    <w:rsid w:val="510F4922"/>
    <w:rsid w:val="516E6D7D"/>
    <w:rsid w:val="519E7CBC"/>
    <w:rsid w:val="51E73BE3"/>
    <w:rsid w:val="5294564A"/>
    <w:rsid w:val="53035F10"/>
    <w:rsid w:val="534D53DE"/>
    <w:rsid w:val="535B6317"/>
    <w:rsid w:val="53A40109"/>
    <w:rsid w:val="53F32A10"/>
    <w:rsid w:val="552C749F"/>
    <w:rsid w:val="55673A1E"/>
    <w:rsid w:val="55C229D1"/>
    <w:rsid w:val="57142F03"/>
    <w:rsid w:val="57E502DB"/>
    <w:rsid w:val="58A14202"/>
    <w:rsid w:val="59FC7900"/>
    <w:rsid w:val="5A614795"/>
    <w:rsid w:val="5A72595D"/>
    <w:rsid w:val="5AB50438"/>
    <w:rsid w:val="5AC46F91"/>
    <w:rsid w:val="5E895E64"/>
    <w:rsid w:val="606F72DB"/>
    <w:rsid w:val="61E11B13"/>
    <w:rsid w:val="620A1069"/>
    <w:rsid w:val="62CE02E9"/>
    <w:rsid w:val="62DF2FF5"/>
    <w:rsid w:val="63647F2E"/>
    <w:rsid w:val="636557CC"/>
    <w:rsid w:val="63901A42"/>
    <w:rsid w:val="6581192F"/>
    <w:rsid w:val="66007B27"/>
    <w:rsid w:val="68481B34"/>
    <w:rsid w:val="68A46147"/>
    <w:rsid w:val="6A84397B"/>
    <w:rsid w:val="6BFD6A38"/>
    <w:rsid w:val="6DFE5CC2"/>
    <w:rsid w:val="6E33200C"/>
    <w:rsid w:val="6ECC5604"/>
    <w:rsid w:val="6FFC7E7F"/>
    <w:rsid w:val="70455963"/>
    <w:rsid w:val="70716758"/>
    <w:rsid w:val="709C1A26"/>
    <w:rsid w:val="7112100E"/>
    <w:rsid w:val="71573B9F"/>
    <w:rsid w:val="7169533C"/>
    <w:rsid w:val="71923D5C"/>
    <w:rsid w:val="71E2392B"/>
    <w:rsid w:val="7231619E"/>
    <w:rsid w:val="727D3192"/>
    <w:rsid w:val="736932C3"/>
    <w:rsid w:val="74F85164"/>
    <w:rsid w:val="76F30488"/>
    <w:rsid w:val="77CE6828"/>
    <w:rsid w:val="782C28A7"/>
    <w:rsid w:val="78B44FED"/>
    <w:rsid w:val="7A2A3A2E"/>
    <w:rsid w:val="7A4D3EE4"/>
    <w:rsid w:val="7AF406B1"/>
    <w:rsid w:val="7CDB435C"/>
    <w:rsid w:val="7D1A3009"/>
    <w:rsid w:val="7DCE5629"/>
    <w:rsid w:val="7EBB39C0"/>
    <w:rsid w:val="7FD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semiHidden="0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semiHidden="0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link w:val="18"/>
    <w:qFormat/>
    <w:uiPriority w:val="99"/>
    <w:pPr>
      <w:keepNext/>
      <w:keepLines/>
      <w:spacing w:line="413" w:lineRule="auto"/>
      <w:outlineLvl w:val="1"/>
    </w:pPr>
    <w:rPr>
      <w:rFonts w:ascii="Times New Roman" w:hAnsi="Times New Roman" w:eastAsia="仿宋_GB2312"/>
    </w:rPr>
  </w:style>
  <w:style w:type="paragraph" w:styleId="2">
    <w:name w:val="heading 3"/>
    <w:basedOn w:val="1"/>
    <w:next w:val="1"/>
    <w:link w:val="19"/>
    <w:qFormat/>
    <w:uiPriority w:val="99"/>
    <w:pPr>
      <w:keepNext/>
      <w:keepLines/>
      <w:numPr>
        <w:ilvl w:val="2"/>
        <w:numId w:val="1"/>
      </w:numPr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99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99"/>
    <w:rPr>
      <w:rFonts w:ascii="Times New Roman" w:hAnsi="Times New Roman" w:eastAsia="黑体"/>
      <w:kern w:val="2"/>
      <w:szCs w:val="24"/>
    </w:rPr>
  </w:style>
  <w:style w:type="paragraph" w:styleId="5">
    <w:name w:val="Body Text"/>
    <w:basedOn w:val="1"/>
    <w:link w:val="21"/>
    <w:qFormat/>
    <w:uiPriority w:val="99"/>
  </w:style>
  <w:style w:type="paragraph" w:styleId="6">
    <w:name w:val="toc 3"/>
    <w:basedOn w:val="1"/>
    <w:next w:val="1"/>
    <w:qFormat/>
    <w:uiPriority w:val="99"/>
    <w:pPr>
      <w:ind w:left="840" w:leftChars="400"/>
    </w:pPr>
    <w:rPr>
      <w:rFonts w:ascii="Calibri" w:hAnsi="Calibri" w:eastAsia="仿宋_GB2312" w:cs="Times New Roman"/>
      <w:kern w:val="2"/>
      <w:sz w:val="32"/>
      <w:szCs w:val="24"/>
    </w:rPr>
  </w:style>
  <w:style w:type="paragraph" w:styleId="7">
    <w:name w:val="Balloon Text"/>
    <w:basedOn w:val="1"/>
    <w:link w:val="22"/>
    <w:uiPriority w:val="99"/>
    <w:rPr>
      <w:rFonts w:ascii="Calibri" w:hAnsi="Calibri" w:eastAsia="黑体" w:cs="Times New Roman"/>
      <w:sz w:val="32"/>
      <w:szCs w:val="18"/>
      <w:lang w:eastAsia="en-US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link w:val="24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toc 1"/>
    <w:basedOn w:val="1"/>
    <w:next w:val="1"/>
    <w:qFormat/>
    <w:uiPriority w:val="99"/>
    <w:rPr>
      <w:rFonts w:ascii="Calibri" w:hAnsi="Calibri" w:eastAsia="黑体" w:cs="Times New Roman"/>
      <w:kern w:val="2"/>
      <w:sz w:val="30"/>
      <w:szCs w:val="24"/>
    </w:rPr>
  </w:style>
  <w:style w:type="paragraph" w:styleId="11">
    <w:name w:val="footnote text"/>
    <w:basedOn w:val="1"/>
    <w:link w:val="25"/>
    <w:autoRedefine/>
    <w:qFormat/>
    <w:uiPriority w:val="99"/>
    <w:pPr>
      <w:numPr>
        <w:ilvl w:val="0"/>
        <w:numId w:val="2"/>
      </w:numPr>
    </w:pPr>
    <w:rPr>
      <w:rFonts w:ascii="Times New Roman" w:hAnsi="Times New Roman" w:cs="Calibri"/>
      <w:kern w:val="2"/>
      <w:sz w:val="20"/>
    </w:rPr>
  </w:style>
  <w:style w:type="paragraph" w:styleId="12">
    <w:name w:val="toc 2"/>
    <w:basedOn w:val="1"/>
    <w:next w:val="1"/>
    <w:autoRedefine/>
    <w:qFormat/>
    <w:uiPriority w:val="99"/>
    <w:pPr>
      <w:ind w:left="420" w:leftChars="200"/>
    </w:pPr>
    <w:rPr>
      <w:rFonts w:ascii="Calibri" w:hAnsi="Calibri" w:eastAsia="楷体_GB2312" w:cs="Times New Roman"/>
      <w:kern w:val="2"/>
      <w:sz w:val="30"/>
      <w:szCs w:val="24"/>
    </w:rPr>
  </w:style>
  <w:style w:type="character" w:styleId="15">
    <w:name w:val="Strong"/>
    <w:basedOn w:val="14"/>
    <w:autoRedefine/>
    <w:qFormat/>
    <w:uiPriority w:val="99"/>
    <w:rPr>
      <w:rFonts w:ascii="Times New Roman" w:hAnsi="Times New Roman" w:eastAsia="仿宋_GB2312" w:cs="Times New Roman"/>
      <w:bCs/>
      <w:sz w:val="32"/>
    </w:rPr>
  </w:style>
  <w:style w:type="character" w:styleId="16">
    <w:name w:val="Emphasis"/>
    <w:basedOn w:val="14"/>
    <w:autoRedefine/>
    <w:qFormat/>
    <w:uiPriority w:val="99"/>
    <w:rPr>
      <w:rFonts w:cs="Times New Roman"/>
      <w:i/>
    </w:rPr>
  </w:style>
  <w:style w:type="character" w:styleId="17">
    <w:name w:val="footnote reference"/>
    <w:basedOn w:val="14"/>
    <w:qFormat/>
    <w:uiPriority w:val="99"/>
    <w:rPr>
      <w:rFonts w:ascii="Times New Roman" w:hAnsi="Times New Roman" w:eastAsia="宋体" w:cs="Times New Roman"/>
      <w:snapToGrid w:val="0"/>
      <w:sz w:val="32"/>
      <w:szCs w:val="32"/>
      <w:vertAlign w:val="superscript"/>
    </w:rPr>
  </w:style>
  <w:style w:type="character" w:customStyle="1" w:styleId="18">
    <w:name w:val="Heading 2 Char"/>
    <w:basedOn w:val="14"/>
    <w:link w:val="3"/>
    <w:semiHidden/>
    <w:qFormat/>
    <w:locked/>
    <w:uiPriority w:val="99"/>
    <w:rPr>
      <w:rFonts w:ascii="Cambria" w:hAnsi="Cambria" w:eastAsia="宋体" w:cs="Times New Roman"/>
      <w:b/>
      <w:bCs/>
      <w:color w:val="000000"/>
      <w:kern w:val="0"/>
      <w:sz w:val="32"/>
      <w:szCs w:val="32"/>
    </w:rPr>
  </w:style>
  <w:style w:type="character" w:customStyle="1" w:styleId="19">
    <w:name w:val="Heading 3 Char"/>
    <w:basedOn w:val="14"/>
    <w:link w:val="2"/>
    <w:semiHidden/>
    <w:qFormat/>
    <w:locked/>
    <w:uiPriority w:val="99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Comment Text Char"/>
    <w:basedOn w:val="14"/>
    <w:link w:val="4"/>
    <w:semiHidden/>
    <w:qFormat/>
    <w:locked/>
    <w:uiPriority w:val="99"/>
    <w:rPr>
      <w:rFonts w:ascii="Arial" w:hAnsi="Arial" w:cs="Arial"/>
      <w:color w:val="000000"/>
      <w:kern w:val="0"/>
      <w:sz w:val="21"/>
      <w:szCs w:val="21"/>
    </w:rPr>
  </w:style>
  <w:style w:type="character" w:customStyle="1" w:styleId="21">
    <w:name w:val="Body Text Char"/>
    <w:basedOn w:val="14"/>
    <w:link w:val="5"/>
    <w:semiHidden/>
    <w:qFormat/>
    <w:locked/>
    <w:uiPriority w:val="99"/>
    <w:rPr>
      <w:rFonts w:ascii="Arial" w:hAnsi="Arial" w:cs="Arial"/>
      <w:color w:val="000000"/>
      <w:kern w:val="0"/>
      <w:sz w:val="21"/>
      <w:szCs w:val="21"/>
    </w:rPr>
  </w:style>
  <w:style w:type="character" w:customStyle="1" w:styleId="22">
    <w:name w:val="Balloon Text Char"/>
    <w:basedOn w:val="14"/>
    <w:link w:val="7"/>
    <w:semiHidden/>
    <w:qFormat/>
    <w:locked/>
    <w:uiPriority w:val="99"/>
    <w:rPr>
      <w:rFonts w:ascii="Calibri" w:hAnsi="Calibri" w:eastAsia="黑体" w:cs="Times New Roman"/>
      <w:sz w:val="18"/>
      <w:szCs w:val="18"/>
      <w:lang w:val="en-US" w:eastAsia="en-US"/>
    </w:rPr>
  </w:style>
  <w:style w:type="character" w:customStyle="1" w:styleId="23">
    <w:name w:val="Footer Char"/>
    <w:basedOn w:val="14"/>
    <w:link w:val="8"/>
    <w:semiHidden/>
    <w:qFormat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24">
    <w:name w:val="Header Char"/>
    <w:basedOn w:val="14"/>
    <w:link w:val="9"/>
    <w:semiHidden/>
    <w:qFormat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25">
    <w:name w:val="Footnote Text Char"/>
    <w:basedOn w:val="14"/>
    <w:link w:val="11"/>
    <w:autoRedefine/>
    <w:semiHidden/>
    <w:qFormat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paragraph" w:customStyle="1" w:styleId="26">
    <w:name w:val="WPSOffice手动目录 2"/>
    <w:autoRedefine/>
    <w:qFormat/>
    <w:uiPriority w:val="99"/>
    <w:pPr>
      <w:ind w:left="200" w:leftChars="200"/>
    </w:pPr>
    <w:rPr>
      <w:rFonts w:ascii="Times New Roman" w:hAnsi="Times New Roman" w:eastAsia="楷体_GB2312" w:cs="Times New Roman"/>
      <w:kern w:val="0"/>
      <w:sz w:val="28"/>
      <w:szCs w:val="20"/>
      <w:lang w:val="en-US" w:eastAsia="zh-CN" w:bidi="ar-SA"/>
    </w:rPr>
  </w:style>
  <w:style w:type="paragraph" w:customStyle="1" w:styleId="27">
    <w:name w:val="WPSOffice手动目录 1"/>
    <w:qFormat/>
    <w:uiPriority w:val="99"/>
    <w:rPr>
      <w:rFonts w:ascii="Times New Roman" w:hAnsi="Times New Roman" w:eastAsia="黑体" w:cs="Times New Roman"/>
      <w:kern w:val="0"/>
      <w:sz w:val="28"/>
      <w:szCs w:val="20"/>
      <w:lang w:val="en-US" w:eastAsia="zh-CN" w:bidi="ar-SA"/>
    </w:rPr>
  </w:style>
  <w:style w:type="paragraph" w:customStyle="1" w:styleId="28">
    <w:name w:val="WPSOffice手动目录 3"/>
    <w:qFormat/>
    <w:uiPriority w:val="99"/>
    <w:pPr>
      <w:ind w:left="400" w:leftChars="400"/>
    </w:pPr>
    <w:rPr>
      <w:rFonts w:ascii="Times New Roman" w:hAnsi="Times New Roman" w:eastAsia="仿宋_GB2312" w:cs="Times New Roman"/>
      <w:kern w:val="0"/>
      <w:sz w:val="32"/>
      <w:szCs w:val="20"/>
      <w:lang w:val="en-US" w:eastAsia="zh-CN" w:bidi="ar-SA"/>
    </w:rPr>
  </w:style>
  <w:style w:type="character" w:customStyle="1" w:styleId="29">
    <w:name w:val="font01"/>
    <w:basedOn w:val="14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21"/>
    <w:basedOn w:val="14"/>
    <w:autoRedefine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2691</Words>
  <Characters>2813</Characters>
  <Lines>0</Lines>
  <Paragraphs>0</Paragraphs>
  <TotalTime>83</TotalTime>
  <ScaleCrop>false</ScaleCrop>
  <LinksUpToDate>false</LinksUpToDate>
  <CharactersWithSpaces>2813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2023-04-17T02:34:00Z</dcterms:created>
  <dc:creator>工作专用</dc:creator>
  <cp:lastModifiedBy>Nb365</cp:lastModifiedBy>
  <cp:lastPrinted>2023-05-25T07:08:00Z</cp:lastPrinted>
  <dcterms:modified xsi:type="dcterms:W3CDTF">2026-07-07T09:10:26Z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A1F7511CC94249D48941FB706CC282BF_13</vt:lpwstr>
  </property>
  <property fmtid="{D5CDD505-2E9C-101B-9397-08002B2CF9AE}" pid="4" name="KSOTemplateDocerSaveRecord">
    <vt:lpwstr>eyJoZGlkIjoiMDE4MTlmOTIzNGJiMzg0MTY4OGQwMjczNTQ5NzUzMDEiLCJ1c2VySWQiOiI0NDczNTIzNzEifQ==</vt:lpwstr>
  </property>
</Properties>
</file>