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AC52F">
      <w:pPr>
        <w:pStyle w:val="5"/>
        <w:spacing w:before="240" w:after="120" w:line="276" w:lineRule="auto"/>
        <w:jc w:val="center"/>
        <w:rPr>
          <w:rFonts w:hint="eastAsia" w:ascii="宋体" w:hAnsi="宋体" w:eastAsia="宋体" w:cs="宋体"/>
        </w:rPr>
      </w:pPr>
      <w:r>
        <w:rPr>
          <w:rFonts w:hint="eastAsia" w:ascii="宋体" w:hAnsi="宋体" w:eastAsia="宋体" w:cs="宋体"/>
          <w:b/>
          <w:i w:val="0"/>
          <w:color w:val="000000"/>
          <w:sz w:val="44"/>
        </w:rPr>
        <w:t>电子商城竞价项目采购需求确认书</w:t>
      </w:r>
    </w:p>
    <w:p w14:paraId="1D837915">
      <w:pPr>
        <w:spacing w:after="120" w:line="240" w:lineRule="auto"/>
        <w:rPr>
          <w:rFonts w:hint="eastAsia" w:ascii="宋体" w:hAnsi="宋体" w:eastAsia="宋体" w:cs="宋体"/>
        </w:rPr>
      </w:pPr>
      <w:r>
        <w:rPr>
          <w:rFonts w:hint="eastAsia" w:ascii="宋体" w:hAnsi="宋体" w:eastAsia="宋体" w:cs="宋体"/>
          <w:sz w:val="32"/>
          <w:szCs w:val="32"/>
          <w:lang w:val="en-US" w:eastAsia="zh-CN"/>
        </w:rPr>
        <w:t>一</w:t>
      </w:r>
      <w:r>
        <w:rPr>
          <w:rFonts w:hint="eastAsia" w:ascii="宋体" w:hAnsi="宋体" w:eastAsia="宋体" w:cs="宋体"/>
          <w:sz w:val="32"/>
          <w:szCs w:val="32"/>
        </w:rPr>
        <w:t>、资质要求</w:t>
      </w:r>
    </w:p>
    <w:p w14:paraId="6166D3E5">
      <w:pPr>
        <w:pStyle w:val="16"/>
        <w:numPr>
          <w:ilvl w:val="0"/>
          <w:numId w:val="7"/>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参与竞价单位须具备《中华人民共和国政府采购法》第二十二条规定的条件，并持有有效的</w:t>
      </w:r>
      <w:r>
        <w:rPr>
          <w:rFonts w:hint="eastAsia" w:ascii="宋体" w:hAnsi="宋体" w:eastAsia="宋体" w:cs="宋体"/>
          <w:color w:val="FF0000"/>
          <w:sz w:val="32"/>
          <w:szCs w:val="32"/>
        </w:rPr>
        <w:t>营业执照</w:t>
      </w:r>
      <w:r>
        <w:rPr>
          <w:rFonts w:hint="eastAsia" w:ascii="宋体" w:hAnsi="宋体" w:eastAsia="宋体" w:cs="宋体"/>
          <w:sz w:val="32"/>
          <w:szCs w:val="32"/>
        </w:rPr>
        <w:t>。</w:t>
      </w:r>
    </w:p>
    <w:p w14:paraId="5256ECEC">
      <w:pPr>
        <w:pStyle w:val="16"/>
        <w:numPr>
          <w:ilvl w:val="0"/>
          <w:numId w:val="7"/>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lang w:val="en-US" w:eastAsia="zh-CN"/>
        </w:rPr>
        <w:t>拍卖师有</w:t>
      </w:r>
      <w:r>
        <w:rPr>
          <w:rFonts w:hint="eastAsia" w:ascii="宋体" w:hAnsi="宋体" w:eastAsia="宋体" w:cs="宋体"/>
          <w:color w:val="FF0000"/>
          <w:sz w:val="32"/>
          <w:szCs w:val="32"/>
          <w:lang w:val="en-US" w:eastAsia="zh-CN"/>
        </w:rPr>
        <w:t>近6个月的社保缴纳证明</w:t>
      </w:r>
      <w:r>
        <w:rPr>
          <w:rFonts w:hint="eastAsia" w:ascii="宋体" w:hAnsi="宋体" w:eastAsia="宋体" w:cs="宋体"/>
          <w:sz w:val="32"/>
          <w:szCs w:val="32"/>
          <w:lang w:val="en-US" w:eastAsia="zh-CN"/>
        </w:rPr>
        <w:t>。</w:t>
      </w:r>
    </w:p>
    <w:p w14:paraId="15A10028">
      <w:pPr>
        <w:pStyle w:val="16"/>
        <w:numPr>
          <w:ilvl w:val="0"/>
          <w:numId w:val="7"/>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lang w:val="en-US" w:eastAsia="zh-CN"/>
        </w:rPr>
        <w:t>持有省级商务主管部门颁发的有效</w:t>
      </w:r>
      <w:r>
        <w:rPr>
          <w:rFonts w:hint="eastAsia" w:ascii="宋体" w:hAnsi="宋体" w:eastAsia="宋体" w:cs="宋体"/>
          <w:color w:val="FF0000"/>
          <w:sz w:val="32"/>
          <w:szCs w:val="32"/>
          <w:lang w:val="en-US" w:eastAsia="zh-CN"/>
        </w:rPr>
        <w:t>《拍卖经营批准证书》</w:t>
      </w:r>
      <w:r>
        <w:rPr>
          <w:rFonts w:hint="eastAsia" w:ascii="宋体" w:hAnsi="宋体" w:eastAsia="宋体" w:cs="宋体"/>
          <w:sz w:val="32"/>
          <w:szCs w:val="32"/>
        </w:rPr>
        <w:t>，须提供资质证书复印件（加盖公章）。</w:t>
      </w:r>
    </w:p>
    <w:p w14:paraId="696714A4">
      <w:pPr>
        <w:pStyle w:val="16"/>
        <w:numPr>
          <w:ilvl w:val="0"/>
          <w:numId w:val="7"/>
        </w:numPr>
        <w:spacing w:after="120" w:line="288" w:lineRule="auto"/>
        <w:ind w:left="1020" w:leftChars="0" w:firstLineChars="0"/>
        <w:rPr>
          <w:rFonts w:hint="eastAsia" w:ascii="宋体" w:hAnsi="宋体" w:eastAsia="宋体" w:cs="宋体"/>
          <w:color w:val="FF0000"/>
          <w:sz w:val="32"/>
          <w:szCs w:val="32"/>
        </w:rPr>
      </w:pPr>
      <w:r>
        <w:rPr>
          <w:rFonts w:hint="eastAsia" w:ascii="宋体" w:hAnsi="宋体" w:eastAsia="宋体" w:cs="宋体"/>
          <w:sz w:val="32"/>
          <w:szCs w:val="32"/>
        </w:rPr>
        <w:t>对列入失信被执行人、重大税收违法失信主体、政府采购严重违法失信行为记录名单的供应商，拒绝参与本项目。须</w:t>
      </w:r>
      <w:r>
        <w:rPr>
          <w:rFonts w:hint="eastAsia" w:ascii="宋体" w:hAnsi="宋体" w:eastAsia="宋体" w:cs="宋体"/>
          <w:color w:val="FF0000"/>
          <w:sz w:val="32"/>
          <w:szCs w:val="32"/>
        </w:rPr>
        <w:t>提供"信用中国"及"中国政府采购网"查询记录截图。</w:t>
      </w:r>
    </w:p>
    <w:p w14:paraId="35996257">
      <w:pPr>
        <w:keepNext w:val="0"/>
        <w:keepLines w:val="0"/>
        <w:widowControl/>
        <w:suppressLineNumbers w:val="0"/>
        <w:jc w:val="left"/>
        <w:rPr>
          <w:rFonts w:hint="eastAsia" w:ascii="宋体" w:hAnsi="宋体" w:eastAsia="宋体" w:cs="宋体"/>
        </w:rPr>
      </w:pPr>
      <w:r>
        <w:rPr>
          <w:rFonts w:hint="eastAsia" w:ascii="宋体" w:hAnsi="宋体" w:eastAsia="宋体" w:cs="宋体"/>
          <w:sz w:val="32"/>
          <w:szCs w:val="32"/>
          <w:lang w:val="en-US" w:eastAsia="zh-CN"/>
        </w:rPr>
        <w:t>二</w:t>
      </w:r>
      <w:r>
        <w:rPr>
          <w:rFonts w:hint="eastAsia" w:ascii="宋体" w:hAnsi="宋体" w:eastAsia="宋体" w:cs="宋体"/>
          <w:sz w:val="32"/>
          <w:szCs w:val="32"/>
        </w:rPr>
        <w:t>、项目具体技术要求</w:t>
      </w:r>
    </w:p>
    <w:p w14:paraId="15C0FA1A">
      <w:pPr>
        <w:numPr>
          <w:ilvl w:val="0"/>
          <w:numId w:val="8"/>
        </w:numPr>
        <w:tabs>
          <w:tab w:val="left" w:pos="360"/>
        </w:tabs>
        <w:bidi w:val="0"/>
        <w:rPr>
          <w:rFonts w:hint="eastAsia"/>
          <w:sz w:val="32"/>
          <w:szCs w:val="32"/>
        </w:rPr>
      </w:pPr>
      <w:r>
        <w:rPr>
          <w:rFonts w:hint="eastAsia" w:eastAsia="宋体"/>
          <w:sz w:val="32"/>
          <w:szCs w:val="32"/>
          <w:lang w:val="en-US" w:eastAsia="zh-CN"/>
        </w:rPr>
        <w:t>具备在电子上传平台发布拍卖公告的技术条件</w:t>
      </w:r>
      <w:r>
        <w:rPr>
          <w:rFonts w:hint="eastAsia"/>
          <w:sz w:val="32"/>
          <w:szCs w:val="32"/>
        </w:rPr>
        <w:t>。</w:t>
      </w:r>
    </w:p>
    <w:p w14:paraId="3D5F2F6C">
      <w:pPr>
        <w:numPr>
          <w:ilvl w:val="0"/>
          <w:numId w:val="8"/>
        </w:numPr>
        <w:tabs>
          <w:tab w:val="left" w:pos="360"/>
        </w:tabs>
        <w:bidi w:val="0"/>
        <w:rPr>
          <w:rFonts w:hint="eastAsia"/>
          <w:sz w:val="32"/>
          <w:szCs w:val="32"/>
        </w:rPr>
      </w:pPr>
      <w:r>
        <w:rPr>
          <w:rFonts w:hint="eastAsia" w:eastAsia="宋体"/>
          <w:sz w:val="32"/>
          <w:szCs w:val="32"/>
          <w:lang w:val="en-US" w:eastAsia="zh-CN"/>
        </w:rPr>
        <w:t>能够通过多种渠道（电子商城、行业平台、地方媒体等）广泛传播拍卖信息</w:t>
      </w:r>
      <w:r>
        <w:rPr>
          <w:rFonts w:hint="eastAsia"/>
          <w:sz w:val="32"/>
          <w:szCs w:val="32"/>
        </w:rPr>
        <w:t>。</w:t>
      </w:r>
    </w:p>
    <w:p w14:paraId="35FAA048">
      <w:pPr>
        <w:numPr>
          <w:ilvl w:val="0"/>
          <w:numId w:val="8"/>
        </w:numPr>
        <w:tabs>
          <w:tab w:val="left" w:pos="360"/>
        </w:tabs>
        <w:bidi w:val="0"/>
        <w:rPr>
          <w:rFonts w:hint="eastAsia" w:ascii="宋体" w:hAnsi="宋体" w:eastAsia="宋体" w:cs="宋体"/>
          <w:sz w:val="32"/>
          <w:szCs w:val="32"/>
        </w:rPr>
      </w:pPr>
      <w:r>
        <w:rPr>
          <w:rFonts w:hint="eastAsia" w:eastAsia="宋体"/>
          <w:sz w:val="32"/>
          <w:szCs w:val="32"/>
          <w:lang w:val="en-US" w:eastAsia="zh-CN"/>
        </w:rPr>
        <w:t>投标人须具有至少1名持有有效</w:t>
      </w:r>
      <w:r>
        <w:rPr>
          <w:rFonts w:hint="eastAsia" w:eastAsia="宋体"/>
          <w:color w:val="FF0000"/>
          <w:sz w:val="32"/>
          <w:szCs w:val="32"/>
          <w:lang w:val="en-US" w:eastAsia="zh-CN"/>
        </w:rPr>
        <w:t>《拍卖师执业资格证书》</w:t>
      </w:r>
      <w:r>
        <w:rPr>
          <w:rFonts w:hint="eastAsia" w:eastAsia="宋体"/>
          <w:sz w:val="32"/>
          <w:szCs w:val="32"/>
          <w:lang w:val="en-US" w:eastAsia="zh-CN"/>
        </w:rPr>
        <w:t>的专职拍卖师，且拍卖师近2年无行业协会处罚记录</w:t>
      </w:r>
      <w:r>
        <w:rPr>
          <w:rFonts w:hint="eastAsia" w:ascii="宋体" w:hAnsi="宋体" w:eastAsia="宋体" w:cs="宋体"/>
          <w:sz w:val="32"/>
          <w:szCs w:val="32"/>
        </w:rPr>
        <w:t>。</w:t>
      </w:r>
    </w:p>
    <w:p w14:paraId="50B73689">
      <w:pPr>
        <w:pStyle w:val="16"/>
        <w:numPr>
          <w:ilvl w:val="0"/>
          <w:numId w:val="8"/>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有投标意向的供应商需在竞价公告发出后进行</w:t>
      </w:r>
      <w:r>
        <w:rPr>
          <w:rFonts w:hint="eastAsia" w:ascii="宋体" w:hAnsi="宋体" w:eastAsia="宋体" w:cs="宋体"/>
          <w:color w:val="FF0000"/>
          <w:sz w:val="32"/>
          <w:szCs w:val="32"/>
          <w:highlight w:val="yellow"/>
        </w:rPr>
        <w:t>现场沟通</w:t>
      </w:r>
      <w:r>
        <w:rPr>
          <w:rFonts w:hint="eastAsia" w:ascii="宋体" w:hAnsi="宋体" w:eastAsia="宋体" w:cs="宋体"/>
          <w:sz w:val="32"/>
          <w:szCs w:val="32"/>
        </w:rPr>
        <w:t>，了解项目详细服务需求，方可参与竞价，不具备资质、相关证明材料、无现场实地勘察参与竞标或报价明显低于成本的供应商视为恶劣竞争，采购人有权废标并重新开展竞价活动，和上报政府采购监督部门追究相关责任予以处罚。</w:t>
      </w:r>
    </w:p>
    <w:p w14:paraId="2EAF0D72">
      <w:pPr>
        <w:keepNext w:val="0"/>
        <w:keepLines w:val="0"/>
        <w:widowControl/>
        <w:suppressLineNumbers w:val="0"/>
        <w:jc w:val="left"/>
        <w:rPr>
          <w:rFonts w:hint="eastAsia" w:ascii="宋体" w:hAnsi="宋体" w:eastAsia="宋体" w:cs="宋体"/>
          <w:sz w:val="32"/>
          <w:szCs w:val="32"/>
        </w:rPr>
      </w:pPr>
      <w:r>
        <w:rPr>
          <w:rFonts w:hint="eastAsia" w:ascii="宋体" w:hAnsi="宋体" w:eastAsia="宋体" w:cs="宋体"/>
          <w:sz w:val="32"/>
          <w:szCs w:val="32"/>
          <w:lang w:val="en-US" w:eastAsia="zh-CN"/>
        </w:rPr>
        <w:t>三</w:t>
      </w:r>
      <w:r>
        <w:rPr>
          <w:rFonts w:hint="eastAsia" w:ascii="宋体" w:hAnsi="宋体" w:eastAsia="宋体" w:cs="宋体"/>
          <w:sz w:val="32"/>
          <w:szCs w:val="32"/>
        </w:rPr>
        <w:t>、商务要求</w:t>
      </w:r>
    </w:p>
    <w:p w14:paraId="29B88F38">
      <w:pPr>
        <w:pStyle w:val="16"/>
        <w:numPr>
          <w:ilvl w:val="0"/>
          <w:numId w:val="9"/>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b/>
          <w:sz w:val="32"/>
          <w:szCs w:val="32"/>
        </w:rPr>
        <w:t>付款条件、时间及比例</w:t>
      </w:r>
      <w:r>
        <w:rPr>
          <w:rFonts w:hint="eastAsia" w:ascii="宋体" w:hAnsi="宋体" w:eastAsia="宋体" w:cs="宋体"/>
          <w:sz w:val="32"/>
          <w:szCs w:val="32"/>
        </w:rPr>
        <w:t>：</w:t>
      </w:r>
      <w:bookmarkStart w:id="0" w:name="_GoBack"/>
      <w:r>
        <w:rPr>
          <w:rFonts w:hint="eastAsia" w:ascii="宋体" w:hAnsi="宋体" w:eastAsia="宋体" w:cs="宋体"/>
          <w:sz w:val="32"/>
          <w:szCs w:val="32"/>
        </w:rPr>
        <w:t>项目完成后</w:t>
      </w:r>
      <w:r>
        <w:rPr>
          <w:rFonts w:hint="eastAsia" w:ascii="宋体" w:hAnsi="宋体" w:eastAsia="宋体" w:cs="宋体"/>
          <w:sz w:val="32"/>
          <w:szCs w:val="32"/>
          <w:lang w:val="en-US" w:eastAsia="zh-CN"/>
        </w:rPr>
        <w:t>协助价款收缴和资产移交后</w:t>
      </w:r>
      <w:bookmarkEnd w:id="0"/>
      <w:r>
        <w:rPr>
          <w:rFonts w:hint="eastAsia" w:ascii="宋体" w:hAnsi="宋体" w:eastAsia="宋体" w:cs="宋体"/>
          <w:sz w:val="32"/>
          <w:szCs w:val="32"/>
          <w:lang w:val="en-US" w:eastAsia="zh-CN"/>
        </w:rPr>
        <w:t>，</w:t>
      </w:r>
      <w:r>
        <w:rPr>
          <w:rFonts w:hint="eastAsia" w:ascii="宋体" w:hAnsi="宋体" w:eastAsia="宋体" w:cs="宋体"/>
          <w:sz w:val="32"/>
          <w:szCs w:val="32"/>
        </w:rPr>
        <w:t>供应商开具合法有效的增值税发票，采购人在收到发票后</w:t>
      </w:r>
      <w:r>
        <w:rPr>
          <w:rFonts w:hint="eastAsia" w:ascii="宋体" w:hAnsi="宋体" w:eastAsia="宋体" w:cs="宋体"/>
          <w:b/>
          <w:sz w:val="32"/>
          <w:szCs w:val="32"/>
        </w:rPr>
        <w:t>30个工作日</w:t>
      </w:r>
      <w:r>
        <w:rPr>
          <w:rFonts w:hint="eastAsia" w:ascii="宋体" w:hAnsi="宋体" w:eastAsia="宋体" w:cs="宋体"/>
          <w:sz w:val="32"/>
          <w:szCs w:val="32"/>
        </w:rPr>
        <w:t>内支付合同款项。</w:t>
      </w:r>
    </w:p>
    <w:p w14:paraId="341DF34A">
      <w:pPr>
        <w:pStyle w:val="16"/>
        <w:numPr>
          <w:ilvl w:val="0"/>
          <w:numId w:val="9"/>
        </w:numPr>
        <w:spacing w:after="120" w:line="288" w:lineRule="auto"/>
        <w:ind w:left="1020" w:leftChars="0" w:firstLineChars="0"/>
        <w:rPr>
          <w:rFonts w:hint="default" w:ascii="宋体" w:hAnsi="宋体" w:eastAsia="宋体" w:cs="宋体"/>
          <w:sz w:val="32"/>
          <w:szCs w:val="32"/>
          <w:lang w:val="en-US"/>
        </w:rPr>
      </w:pPr>
      <w:r>
        <w:rPr>
          <w:rFonts w:hint="eastAsia" w:ascii="宋体" w:hAnsi="宋体" w:eastAsia="宋体" w:cs="宋体"/>
          <w:b/>
          <w:sz w:val="32"/>
          <w:szCs w:val="32"/>
        </w:rPr>
        <w:t>服务期限</w:t>
      </w:r>
      <w:r>
        <w:rPr>
          <w:rFonts w:hint="eastAsia" w:ascii="宋体" w:hAnsi="宋体" w:eastAsia="宋体" w:cs="宋体"/>
          <w:sz w:val="32"/>
          <w:szCs w:val="32"/>
        </w:rPr>
        <w:t>：自合同签订之日起</w:t>
      </w:r>
      <w:r>
        <w:rPr>
          <w:rFonts w:hint="eastAsia" w:ascii="宋体" w:hAnsi="宋体" w:eastAsia="宋体" w:cs="宋体"/>
          <w:b/>
          <w:sz w:val="32"/>
          <w:szCs w:val="32"/>
        </w:rPr>
        <w:t>10个</w:t>
      </w:r>
      <w:r>
        <w:rPr>
          <w:rFonts w:hint="eastAsia" w:ascii="宋体" w:hAnsi="宋体" w:eastAsia="宋体" w:cs="宋体"/>
          <w:b/>
          <w:sz w:val="32"/>
          <w:szCs w:val="32"/>
          <w:lang w:val="en-US" w:eastAsia="zh-CN"/>
        </w:rPr>
        <w:t>工作日</w:t>
      </w:r>
      <w:r>
        <w:rPr>
          <w:rFonts w:hint="eastAsia" w:ascii="宋体" w:hAnsi="宋体" w:eastAsia="宋体" w:cs="宋体"/>
          <w:sz w:val="32"/>
          <w:szCs w:val="32"/>
        </w:rPr>
        <w:t>内完成</w:t>
      </w:r>
      <w:r>
        <w:rPr>
          <w:rFonts w:hint="eastAsia" w:ascii="宋体" w:hAnsi="宋体" w:eastAsia="宋体" w:cs="宋体"/>
          <w:sz w:val="32"/>
          <w:szCs w:val="32"/>
          <w:lang w:val="en-US" w:eastAsia="zh-CN"/>
        </w:rPr>
        <w:t>拍卖服务。</w:t>
      </w:r>
    </w:p>
    <w:p w14:paraId="39AEEA09">
      <w:pPr>
        <w:spacing w:after="120" w:line="240" w:lineRule="auto"/>
        <w:rPr>
          <w:rFonts w:hint="eastAsia" w:ascii="宋体" w:hAnsi="宋体" w:eastAsia="宋体" w:cs="宋体"/>
          <w:sz w:val="32"/>
          <w:szCs w:val="32"/>
        </w:rPr>
      </w:pPr>
      <w:r>
        <w:rPr>
          <w:rFonts w:hint="eastAsia" w:ascii="宋体" w:hAnsi="宋体" w:eastAsia="宋体" w:cs="宋体"/>
          <w:sz w:val="32"/>
          <w:szCs w:val="32"/>
          <w:lang w:val="en-US" w:eastAsia="zh-CN"/>
        </w:rPr>
        <w:t>四</w:t>
      </w:r>
      <w:r>
        <w:rPr>
          <w:rFonts w:hint="eastAsia" w:ascii="宋体" w:hAnsi="宋体" w:eastAsia="宋体" w:cs="宋体"/>
          <w:sz w:val="32"/>
          <w:szCs w:val="32"/>
        </w:rPr>
        <w:t>、保密条款</w:t>
      </w:r>
    </w:p>
    <w:p w14:paraId="6951316D">
      <w:pPr>
        <w:pStyle w:val="16"/>
        <w:numPr>
          <w:ilvl w:val="0"/>
          <w:numId w:val="10"/>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供应商及其参与人员对本项目实施过程中知悉的采购人所有信息（包括但不限于资产信息、财务数据、技术资料等）负有保密义务，未经采购人书面同意，不得向任何第三方披露。</w:t>
      </w:r>
    </w:p>
    <w:p w14:paraId="2AAD3E4F">
      <w:pPr>
        <w:pStyle w:val="16"/>
        <w:numPr>
          <w:ilvl w:val="0"/>
          <w:numId w:val="10"/>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供应商须与采购人签订</w:t>
      </w:r>
      <w:r>
        <w:rPr>
          <w:rFonts w:hint="eastAsia" w:ascii="宋体" w:hAnsi="宋体" w:eastAsia="宋体" w:cs="宋体"/>
          <w:b/>
          <w:sz w:val="32"/>
          <w:szCs w:val="32"/>
        </w:rPr>
        <w:t>保密协议</w:t>
      </w:r>
      <w:r>
        <w:rPr>
          <w:rFonts w:hint="eastAsia" w:ascii="宋体" w:hAnsi="宋体" w:eastAsia="宋体" w:cs="宋体"/>
          <w:sz w:val="32"/>
          <w:szCs w:val="32"/>
        </w:rPr>
        <w:t>，保密义务在合同终止后仍持续有效。</w:t>
      </w:r>
    </w:p>
    <w:p w14:paraId="1162BAD7">
      <w:pPr>
        <w:pStyle w:val="16"/>
        <w:numPr>
          <w:ilvl w:val="0"/>
          <w:numId w:val="10"/>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因供应商泄露信息给采购人造成损失的，供应商应承担全部法律责任及赔偿责任。</w:t>
      </w:r>
    </w:p>
    <w:p w14:paraId="1223AA9B">
      <w:pPr>
        <w:keepNext w:val="0"/>
        <w:keepLines w:val="0"/>
        <w:pageBreakBefore w:val="0"/>
        <w:widowControl w:val="0"/>
        <w:numPr>
          <w:ilvl w:val="0"/>
          <w:numId w:val="0"/>
        </w:numPr>
        <w:kinsoku/>
        <w:wordWrap/>
        <w:overflowPunct/>
        <w:topLinePunct w:val="0"/>
        <w:autoSpaceDE/>
        <w:autoSpaceDN/>
        <w:bidi w:val="0"/>
        <w:adjustRightInd/>
        <w:snapToGrid/>
        <w:spacing w:beforeAutospacing="0" w:after="80" w:afterAutospacing="0" w:line="500" w:lineRule="exact"/>
        <w:ind w:left="502" w:leftChars="228" w:firstLine="440" w:firstLineChars="200"/>
        <w:textAlignment w:val="auto"/>
        <w:rPr>
          <w:rFonts w:hint="eastAsia" w:ascii="宋体" w:hAnsi="宋体" w:eastAsia="宋体" w:cs="宋体"/>
        </w:rPr>
      </w:pPr>
    </w:p>
    <w:p w14:paraId="7803B73D">
      <w:pPr>
        <w:pStyle w:val="2"/>
        <w:rPr>
          <w:rFonts w:hint="default" w:eastAsia="宋体"/>
          <w:color w:val="FF0000"/>
          <w:sz w:val="36"/>
          <w:szCs w:val="36"/>
          <w:highlight w:val="yellow"/>
          <w:lang w:val="en-US" w:eastAsia="zh-CN"/>
        </w:rPr>
      </w:pPr>
      <w:r>
        <w:rPr>
          <w:rFonts w:hint="eastAsia" w:ascii="宋体" w:hAnsi="宋体" w:eastAsia="宋体" w:cs="宋体"/>
          <w:color w:val="FF0000"/>
          <w:sz w:val="36"/>
          <w:szCs w:val="36"/>
          <w:highlight w:val="yellow"/>
          <w:lang w:val="en-US" w:eastAsia="zh-CN"/>
        </w:rPr>
        <w:t>勘察请自行前往。请将上述要求资质+勘察回执单 发送至采购办邮箱：zyyzbb2014@163.com，不发送视为无效竞价。</w:t>
      </w:r>
    </w:p>
    <w:sectPr>
      <w:pgSz w:w="12240" w:h="15840"/>
      <w:pgMar w:top="1157" w:right="1803" w:bottom="873" w:left="1803"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MS Mincho">
    <w:panose1 w:val="02020609040205080304"/>
    <w:charset w:val="80"/>
    <w:family w:val="roman"/>
    <w:pitch w:val="default"/>
    <w:sig w:usb0="A00002BF" w:usb1="68C7FCFB" w:usb2="00000010" w:usb3="00000000" w:csb0="4002009F" w:csb1="DFD7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5"/>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6"/>
      <w:lvlText w:val="%1."/>
      <w:lvlJc w:val="left"/>
      <w:pPr>
        <w:tabs>
          <w:tab w:val="left" w:pos="360"/>
        </w:tabs>
        <w:ind w:left="1020" w:hanging="360"/>
      </w:pPr>
    </w:lvl>
  </w:abstractNum>
  <w:abstractNum w:abstractNumId="5">
    <w:nsid w:val="FFFFFF89"/>
    <w:multiLevelType w:val="singleLevel"/>
    <w:tmpl w:val="FFFFFF89"/>
    <w:lvl w:ilvl="0" w:tentative="0">
      <w:start w:val="1"/>
      <w:numFmt w:val="bullet"/>
      <w:pStyle w:val="18"/>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52F2DAA"/>
    <w:rsid w:val="07CA17D1"/>
    <w:rsid w:val="0FDC1E47"/>
    <w:rsid w:val="200A5E59"/>
    <w:rsid w:val="268346A3"/>
    <w:rsid w:val="334D33DB"/>
    <w:rsid w:val="35B42B82"/>
    <w:rsid w:val="385322D1"/>
    <w:rsid w:val="448B2AB9"/>
    <w:rsid w:val="4B44280A"/>
    <w:rsid w:val="52923425"/>
    <w:rsid w:val="5B691418"/>
    <w:rsid w:val="60E23609"/>
    <w:rsid w:val="778B672F"/>
    <w:rsid w:val="783704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5">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6">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7">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8">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9">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10">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1">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2">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3">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44"/>
    <w:unhideWhenUsed/>
    <w:qFormat/>
    <w:uiPriority w:val="99"/>
    <w:pPr>
      <w:spacing w:after="120"/>
    </w:pPr>
  </w:style>
  <w:style w:type="paragraph" w:styleId="3">
    <w:name w:val="Body Text 2"/>
    <w:basedOn w:val="1"/>
    <w:next w:val="2"/>
    <w:link w:val="145"/>
    <w:unhideWhenUsed/>
    <w:uiPriority w:val="99"/>
    <w:pPr>
      <w:spacing w:after="120" w:line="480" w:lineRule="auto"/>
    </w:pPr>
  </w:style>
  <w:style w:type="paragraph" w:styleId="4">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4">
    <w:name w:val="List 3"/>
    <w:basedOn w:val="1"/>
    <w:unhideWhenUsed/>
    <w:qFormat/>
    <w:uiPriority w:val="99"/>
    <w:pPr>
      <w:ind w:left="1080" w:hanging="360"/>
      <w:contextualSpacing/>
    </w:pPr>
  </w:style>
  <w:style w:type="paragraph" w:styleId="15">
    <w:name w:val="List Number 2"/>
    <w:basedOn w:val="1"/>
    <w:unhideWhenUsed/>
    <w:qFormat/>
    <w:uiPriority w:val="99"/>
    <w:pPr>
      <w:numPr>
        <w:ilvl w:val="0"/>
        <w:numId w:val="1"/>
      </w:numPr>
      <w:contextualSpacing/>
    </w:pPr>
  </w:style>
  <w:style w:type="paragraph" w:styleId="16">
    <w:name w:val="List Number"/>
    <w:basedOn w:val="1"/>
    <w:unhideWhenUsed/>
    <w:qFormat/>
    <w:uiPriority w:val="99"/>
    <w:pPr>
      <w:numPr>
        <w:ilvl w:val="0"/>
        <w:numId w:val="2"/>
      </w:numPr>
      <w:contextualSpacing/>
    </w:pPr>
  </w:style>
  <w:style w:type="paragraph" w:styleId="1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8">
    <w:name w:val="List Bullet"/>
    <w:basedOn w:val="1"/>
    <w:unhideWhenUsed/>
    <w:qFormat/>
    <w:uiPriority w:val="99"/>
    <w:pPr>
      <w:numPr>
        <w:ilvl w:val="0"/>
        <w:numId w:val="3"/>
      </w:numPr>
      <w:contextualSpacing/>
    </w:pPr>
  </w:style>
  <w:style w:type="paragraph" w:styleId="19">
    <w:name w:val="Body Text 3"/>
    <w:basedOn w:val="1"/>
    <w:link w:val="146"/>
    <w:unhideWhenUsed/>
    <w:qFormat/>
    <w:uiPriority w:val="99"/>
    <w:pPr>
      <w:spacing w:after="120"/>
    </w:pPr>
    <w:rPr>
      <w:sz w:val="16"/>
      <w:szCs w:val="16"/>
    </w:rPr>
  </w:style>
  <w:style w:type="paragraph" w:styleId="20">
    <w:name w:val="List Bullet 3"/>
    <w:basedOn w:val="1"/>
    <w:unhideWhenUsed/>
    <w:qFormat/>
    <w:uiPriority w:val="99"/>
    <w:pPr>
      <w:numPr>
        <w:ilvl w:val="0"/>
        <w:numId w:val="4"/>
      </w:numPr>
      <w:contextualSpacing/>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6"/>
    <w:unhideWhenUsed/>
    <w:qFormat/>
    <w:uiPriority w:val="99"/>
    <w:pPr>
      <w:tabs>
        <w:tab w:val="center" w:pos="4680"/>
        <w:tab w:val="right" w:pos="9360"/>
      </w:tabs>
      <w:spacing w:after="0" w:line="240" w:lineRule="auto"/>
    </w:pPr>
  </w:style>
  <w:style w:type="paragraph" w:styleId="26">
    <w:name w:val="header"/>
    <w:basedOn w:val="1"/>
    <w:link w:val="135"/>
    <w:unhideWhenUsed/>
    <w:qFormat/>
    <w:uiPriority w:val="99"/>
    <w:pPr>
      <w:tabs>
        <w:tab w:val="center" w:pos="4680"/>
        <w:tab w:val="right" w:pos="9360"/>
      </w:tabs>
      <w:spacing w:after="0" w:line="240" w:lineRule="auto"/>
    </w:pPr>
  </w:style>
  <w:style w:type="paragraph" w:styleId="27">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6"/>
    <w:qFormat/>
    <w:uiPriority w:val="99"/>
  </w:style>
  <w:style w:type="character" w:customStyle="1" w:styleId="136">
    <w:name w:val="Footer Char"/>
    <w:basedOn w:val="132"/>
    <w:link w:val="25"/>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5"/>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6"/>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7"/>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2"/>
    <w:qFormat/>
    <w:uiPriority w:val="99"/>
  </w:style>
  <w:style w:type="character" w:customStyle="1" w:styleId="145">
    <w:name w:val="Body Text 2 Char"/>
    <w:basedOn w:val="132"/>
    <w:link w:val="3"/>
    <w:qFormat/>
    <w:uiPriority w:val="99"/>
  </w:style>
  <w:style w:type="character" w:customStyle="1" w:styleId="146">
    <w:name w:val="Body Text 3 Char"/>
    <w:basedOn w:val="132"/>
    <w:link w:val="19"/>
    <w:qFormat/>
    <w:uiPriority w:val="99"/>
    <w:rPr>
      <w:sz w:val="16"/>
      <w:szCs w:val="16"/>
    </w:rPr>
  </w:style>
  <w:style w:type="character" w:customStyle="1" w:styleId="147">
    <w:name w:val="Macro Text Char"/>
    <w:basedOn w:val="132"/>
    <w:link w:val="4"/>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8"/>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9"/>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10"/>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11"/>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2"/>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3"/>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5"/>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930</Words>
  <Characters>941</Characters>
  <Lines>0</Lines>
  <Paragraphs>0</Paragraphs>
  <TotalTime>37</TotalTime>
  <ScaleCrop>false</ScaleCrop>
  <LinksUpToDate>false</LinksUpToDate>
  <CharactersWithSpaces>1065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驻马店市中医院招标办</cp:lastModifiedBy>
  <cp:lastPrinted>2026-05-27T01:25:00Z</cp:lastPrinted>
  <dcterms:modified xsi:type="dcterms:W3CDTF">2026-07-06T08:57:09Z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eyJoZGlkIjoiYzAyZmVkN2UzYzJlNWUwZDVkODczYTBmM2VlOTcwOWMiLCJ1c2VySWQiOiIxMTM3NDM2MzI0In0=</vt:lpwstr>
  </property>
  <property fmtid="{D5CDD505-2E9C-101B-9397-08002B2CF9AE}" pid="3" name="KSOProductBuildVer">
    <vt:lpwstr>2052-12.1.0.26895</vt:lpwstr>
  </property>
  <property fmtid="{D5CDD505-2E9C-101B-9397-08002B2CF9AE}" pid="4" name="ICV">
    <vt:lpwstr>D858AEFF51D445F39487258507335233_13</vt:lpwstr>
  </property>
</Properties>
</file>