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AC52F">
      <w:pPr>
        <w:pStyle w:val="5"/>
        <w:spacing w:before="240" w:after="120" w:line="276" w:lineRule="auto"/>
        <w:jc w:val="center"/>
        <w:rPr>
          <w:rFonts w:hint="eastAsia" w:ascii="宋体" w:hAnsi="宋体" w:eastAsia="宋体" w:cs="宋体"/>
        </w:rPr>
      </w:pPr>
      <w:r>
        <w:rPr>
          <w:rFonts w:hint="eastAsia" w:ascii="宋体" w:hAnsi="宋体" w:eastAsia="宋体" w:cs="宋体"/>
          <w:b/>
          <w:i w:val="0"/>
          <w:color w:val="000000"/>
          <w:sz w:val="44"/>
        </w:rPr>
        <w:t>电子商城竞价项目采购需求确认书</w:t>
      </w:r>
    </w:p>
    <w:p w14:paraId="1D837915">
      <w:pPr>
        <w:spacing w:after="120" w:line="240" w:lineRule="auto"/>
        <w:rPr>
          <w:rFonts w:hint="eastAsia" w:ascii="宋体" w:hAnsi="宋体" w:eastAsia="宋体" w:cs="宋体"/>
        </w:rPr>
      </w:pPr>
      <w:r>
        <w:rPr>
          <w:rFonts w:hint="eastAsia" w:ascii="宋体" w:hAnsi="宋体" w:eastAsia="宋体" w:cs="宋体"/>
          <w:sz w:val="32"/>
          <w:szCs w:val="32"/>
          <w:lang w:val="en-US" w:eastAsia="zh-CN"/>
        </w:rPr>
        <w:t>一</w:t>
      </w:r>
      <w:r>
        <w:rPr>
          <w:rFonts w:hint="eastAsia" w:ascii="宋体" w:hAnsi="宋体" w:eastAsia="宋体" w:cs="宋体"/>
          <w:sz w:val="32"/>
          <w:szCs w:val="32"/>
        </w:rPr>
        <w:t>、资质要求</w:t>
      </w:r>
    </w:p>
    <w:p w14:paraId="6166D3E5">
      <w:pPr>
        <w:pStyle w:val="16"/>
        <w:numPr>
          <w:ilvl w:val="0"/>
          <w:numId w:val="7"/>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rPr>
        <w:t>参与竞价单位须具备《中华人民共和国政府采购法》第二十二条规定的条件，并持有有效的</w:t>
      </w:r>
      <w:r>
        <w:rPr>
          <w:rFonts w:hint="eastAsia" w:ascii="宋体" w:hAnsi="宋体" w:eastAsia="宋体" w:cs="宋体"/>
          <w:color w:val="FF0000"/>
          <w:sz w:val="32"/>
          <w:szCs w:val="32"/>
        </w:rPr>
        <w:t>营业执照</w:t>
      </w:r>
      <w:r>
        <w:rPr>
          <w:rFonts w:hint="eastAsia" w:ascii="宋体" w:hAnsi="宋体" w:eastAsia="宋体" w:cs="宋体"/>
          <w:sz w:val="32"/>
          <w:szCs w:val="32"/>
        </w:rPr>
        <w:t>。</w:t>
      </w:r>
    </w:p>
    <w:p w14:paraId="15A10028">
      <w:pPr>
        <w:pStyle w:val="16"/>
        <w:numPr>
          <w:ilvl w:val="0"/>
          <w:numId w:val="7"/>
        </w:numPr>
        <w:spacing w:after="120" w:line="288" w:lineRule="auto"/>
        <w:ind w:left="1020" w:leftChars="0" w:firstLineChars="0"/>
        <w:rPr>
          <w:rFonts w:hint="eastAsia" w:ascii="宋体" w:hAnsi="宋体" w:eastAsia="宋体" w:cs="宋体"/>
          <w:color w:val="FF0000"/>
          <w:sz w:val="32"/>
          <w:szCs w:val="32"/>
        </w:rPr>
      </w:pPr>
      <w:r>
        <w:rPr>
          <w:rFonts w:hint="eastAsia" w:ascii="宋体" w:hAnsi="宋体" w:eastAsia="宋体" w:cs="宋体"/>
          <w:sz w:val="32"/>
          <w:szCs w:val="32"/>
        </w:rPr>
        <w:t>具备资产评估相关资质（省财政厅颁发）及履行合同所必需的设备和专业技术能力，须</w:t>
      </w:r>
      <w:r>
        <w:rPr>
          <w:rFonts w:hint="eastAsia" w:ascii="宋体" w:hAnsi="宋体" w:eastAsia="宋体" w:cs="宋体"/>
          <w:color w:val="FF0000"/>
          <w:sz w:val="32"/>
          <w:szCs w:val="32"/>
        </w:rPr>
        <w:t>提供资质证书复印件（加盖公章）。</w:t>
      </w:r>
    </w:p>
    <w:p w14:paraId="6C6DA0FB">
      <w:pPr>
        <w:pStyle w:val="16"/>
        <w:numPr>
          <w:ilvl w:val="0"/>
          <w:numId w:val="7"/>
        </w:numPr>
        <w:spacing w:after="120" w:line="288" w:lineRule="auto"/>
        <w:ind w:left="1020" w:leftChars="0" w:firstLineChars="0"/>
        <w:rPr>
          <w:rFonts w:hint="eastAsia" w:ascii="宋体" w:hAnsi="宋体" w:eastAsia="宋体" w:cs="宋体"/>
          <w:sz w:val="32"/>
          <w:szCs w:val="32"/>
        </w:rPr>
      </w:pPr>
      <w:r>
        <w:rPr>
          <w:rFonts w:hint="eastAsia" w:eastAsia="宋体" w:cs="宋体" w:asciiTheme="minorEastAsia" w:hAnsiTheme="minorEastAsia"/>
          <w:kern w:val="0"/>
          <w:sz w:val="32"/>
          <w:szCs w:val="24"/>
          <w:lang w:val="en-US" w:eastAsia="zh-CN" w:bidi="ar-SA"/>
        </w:rPr>
        <w:t>具有履行合同所必须的设备和专业技术能力。</w:t>
      </w:r>
    </w:p>
    <w:p w14:paraId="696714A4">
      <w:pPr>
        <w:pStyle w:val="16"/>
        <w:numPr>
          <w:ilvl w:val="0"/>
          <w:numId w:val="7"/>
        </w:numPr>
        <w:spacing w:after="120" w:line="288" w:lineRule="auto"/>
        <w:ind w:left="1020" w:leftChars="0" w:firstLineChars="0"/>
        <w:rPr>
          <w:rFonts w:hint="eastAsia" w:ascii="宋体" w:hAnsi="宋体" w:eastAsia="宋体" w:cs="宋体"/>
          <w:color w:val="FF0000"/>
          <w:sz w:val="32"/>
          <w:szCs w:val="32"/>
        </w:rPr>
      </w:pPr>
      <w:r>
        <w:rPr>
          <w:rFonts w:hint="eastAsia" w:ascii="宋体" w:hAnsi="宋体" w:eastAsia="宋体" w:cs="宋体"/>
          <w:sz w:val="32"/>
          <w:szCs w:val="32"/>
        </w:rPr>
        <w:t>对列入失信被执行人、重大税收违法失信主体、政府采购严重违法失信行为记录名单的供应商，拒绝参与本项目。</w:t>
      </w:r>
      <w:r>
        <w:rPr>
          <w:rFonts w:hint="eastAsia" w:ascii="宋体" w:hAnsi="宋体" w:eastAsia="宋体" w:cs="宋体"/>
          <w:color w:val="FF0000"/>
          <w:sz w:val="32"/>
          <w:szCs w:val="32"/>
        </w:rPr>
        <w:t>须提供"信用中国"及"中国政府采购网"查询记录截图。</w:t>
      </w:r>
    </w:p>
    <w:p w14:paraId="35996257">
      <w:pPr>
        <w:spacing w:after="120" w:line="240" w:lineRule="auto"/>
        <w:rPr>
          <w:rFonts w:hint="eastAsia" w:ascii="宋体" w:hAnsi="宋体" w:eastAsia="宋体" w:cs="宋体"/>
        </w:rPr>
      </w:pPr>
      <w:r>
        <w:rPr>
          <w:rFonts w:hint="eastAsia" w:ascii="宋体" w:hAnsi="宋体" w:eastAsia="宋体" w:cs="宋体"/>
          <w:sz w:val="32"/>
          <w:szCs w:val="32"/>
          <w:lang w:val="en-US" w:eastAsia="zh-CN"/>
        </w:rPr>
        <w:t>二</w:t>
      </w:r>
      <w:r>
        <w:rPr>
          <w:rFonts w:hint="eastAsia" w:ascii="宋体" w:hAnsi="宋体" w:eastAsia="宋体" w:cs="宋体"/>
          <w:sz w:val="32"/>
          <w:szCs w:val="32"/>
        </w:rPr>
        <w:t>、项目具体技术要求</w:t>
      </w:r>
    </w:p>
    <w:p w14:paraId="15C0FA1A">
      <w:pPr>
        <w:numPr>
          <w:ilvl w:val="0"/>
          <w:numId w:val="8"/>
        </w:numPr>
        <w:tabs>
          <w:tab w:val="left" w:pos="360"/>
        </w:tabs>
        <w:bidi w:val="0"/>
        <w:rPr>
          <w:rFonts w:hint="eastAsia"/>
          <w:sz w:val="32"/>
          <w:szCs w:val="32"/>
        </w:rPr>
      </w:pPr>
      <w:r>
        <w:rPr>
          <w:rFonts w:hint="eastAsia"/>
          <w:sz w:val="32"/>
          <w:szCs w:val="32"/>
        </w:rPr>
        <w:t>对该批固定资产报废进行价值评估，出具评估报告。评估报告须符合《资产评估执业准则》相关要求。</w:t>
      </w:r>
    </w:p>
    <w:p w14:paraId="3D5F2F6C">
      <w:pPr>
        <w:numPr>
          <w:ilvl w:val="0"/>
          <w:numId w:val="8"/>
        </w:numPr>
        <w:tabs>
          <w:tab w:val="left" w:pos="360"/>
        </w:tabs>
        <w:bidi w:val="0"/>
        <w:rPr>
          <w:rFonts w:hint="eastAsia"/>
          <w:sz w:val="32"/>
          <w:szCs w:val="32"/>
        </w:rPr>
      </w:pPr>
      <w:r>
        <w:rPr>
          <w:rFonts w:hint="eastAsia"/>
          <w:sz w:val="32"/>
          <w:szCs w:val="32"/>
        </w:rPr>
        <w:t>评估报告需提交纸质版原件三份及电子版一份（PDF格式）。</w:t>
      </w:r>
    </w:p>
    <w:p w14:paraId="35FAA048">
      <w:pPr>
        <w:numPr>
          <w:ilvl w:val="0"/>
          <w:numId w:val="8"/>
        </w:numPr>
        <w:tabs>
          <w:tab w:val="left" w:pos="360"/>
        </w:tabs>
        <w:bidi w:val="0"/>
        <w:rPr>
          <w:rFonts w:hint="eastAsia" w:ascii="宋体" w:hAnsi="宋体" w:eastAsia="宋体" w:cs="宋体"/>
          <w:color w:val="FF0000"/>
          <w:sz w:val="32"/>
          <w:szCs w:val="32"/>
        </w:rPr>
      </w:pPr>
      <w:r>
        <w:rPr>
          <w:rFonts w:hint="eastAsia"/>
          <w:sz w:val="32"/>
          <w:szCs w:val="32"/>
        </w:rPr>
        <w:t>参与报价公司拟派的项目负责人须具备资产评估师职业资格考试合格证，</w:t>
      </w:r>
      <w:r>
        <w:rPr>
          <w:rFonts w:hint="eastAsia"/>
          <w:color w:val="FF0000"/>
          <w:sz w:val="32"/>
          <w:szCs w:val="32"/>
        </w:rPr>
        <w:t>取得《资产评估师职业资格证</w:t>
      </w:r>
      <w:r>
        <w:rPr>
          <w:rFonts w:hint="eastAsia" w:ascii="宋体" w:hAnsi="宋体" w:eastAsia="宋体" w:cs="宋体"/>
          <w:color w:val="FF0000"/>
          <w:sz w:val="32"/>
          <w:szCs w:val="32"/>
        </w:rPr>
        <w:t>书》并经中国资产评估协会登记的注册资产评估师，须提供资格证书及登记证明复印件（加盖公章）。</w:t>
      </w:r>
    </w:p>
    <w:p w14:paraId="50B73689">
      <w:pPr>
        <w:pStyle w:val="16"/>
        <w:numPr>
          <w:ilvl w:val="0"/>
          <w:numId w:val="8"/>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rPr>
        <w:t>有投标意向的供应商须在竞价公告发出后，按采购人统一安排的时间进行</w:t>
      </w:r>
      <w:r>
        <w:rPr>
          <w:rFonts w:hint="eastAsia" w:ascii="宋体" w:hAnsi="宋体" w:eastAsia="宋体" w:cs="宋体"/>
          <w:color w:val="FF0000"/>
          <w:sz w:val="32"/>
          <w:szCs w:val="32"/>
          <w:highlight w:val="yellow"/>
        </w:rPr>
        <w:t>现场勘察沟通</w:t>
      </w:r>
      <w:r>
        <w:rPr>
          <w:rFonts w:hint="eastAsia" w:ascii="宋体" w:hAnsi="宋体" w:eastAsia="宋体" w:cs="宋体"/>
          <w:sz w:val="32"/>
          <w:szCs w:val="32"/>
        </w:rPr>
        <w:t>。不具备资质、未按要求提供相关证明材料、未参与现场实地勘察的供应商，视为恶意竞争，采购人有权废标并重新开展竞价活动，同时将上报政府采购监督部门并追究相关责任予以处罚。</w:t>
      </w:r>
    </w:p>
    <w:p w14:paraId="2EAF0D72">
      <w:pPr>
        <w:spacing w:after="120" w:line="240" w:lineRule="auto"/>
        <w:rPr>
          <w:rFonts w:hint="eastAsia" w:ascii="宋体" w:hAnsi="宋体" w:eastAsia="宋体" w:cs="宋体"/>
          <w:sz w:val="32"/>
          <w:szCs w:val="32"/>
        </w:rPr>
      </w:pPr>
      <w:r>
        <w:rPr>
          <w:rFonts w:hint="eastAsia" w:ascii="宋体" w:hAnsi="宋体" w:eastAsia="宋体" w:cs="宋体"/>
          <w:sz w:val="32"/>
          <w:szCs w:val="32"/>
          <w:lang w:val="en-US" w:eastAsia="zh-CN"/>
        </w:rPr>
        <w:t>三</w:t>
      </w:r>
      <w:r>
        <w:rPr>
          <w:rFonts w:hint="eastAsia" w:ascii="宋体" w:hAnsi="宋体" w:eastAsia="宋体" w:cs="宋体"/>
          <w:sz w:val="32"/>
          <w:szCs w:val="32"/>
        </w:rPr>
        <w:t>、商务要求</w:t>
      </w:r>
    </w:p>
    <w:p w14:paraId="29B88F38">
      <w:pPr>
        <w:pStyle w:val="16"/>
        <w:numPr>
          <w:ilvl w:val="0"/>
          <w:numId w:val="9"/>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b/>
          <w:sz w:val="32"/>
          <w:szCs w:val="32"/>
        </w:rPr>
        <w:t>付款条件、时间及比例</w:t>
      </w:r>
      <w:r>
        <w:rPr>
          <w:rFonts w:hint="eastAsia" w:ascii="宋体" w:hAnsi="宋体" w:eastAsia="宋体" w:cs="宋体"/>
          <w:sz w:val="32"/>
          <w:szCs w:val="32"/>
        </w:rPr>
        <w:t>：项目完成后出具评估报告，经采购人验收合格后，供应商开具合法有效的增值税发票，采购人在收到发票后</w:t>
      </w:r>
      <w:r>
        <w:rPr>
          <w:rFonts w:hint="eastAsia" w:ascii="宋体" w:hAnsi="宋体" w:eastAsia="宋体" w:cs="宋体"/>
          <w:b/>
          <w:sz w:val="32"/>
          <w:szCs w:val="32"/>
        </w:rPr>
        <w:t>30个工作日</w:t>
      </w:r>
      <w:r>
        <w:rPr>
          <w:rFonts w:hint="eastAsia" w:ascii="宋体" w:hAnsi="宋体" w:eastAsia="宋体" w:cs="宋体"/>
          <w:sz w:val="32"/>
          <w:szCs w:val="32"/>
        </w:rPr>
        <w:t>内支付合同款项。</w:t>
      </w:r>
    </w:p>
    <w:p w14:paraId="341DF34A">
      <w:pPr>
        <w:pStyle w:val="16"/>
        <w:numPr>
          <w:ilvl w:val="0"/>
          <w:numId w:val="9"/>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b/>
          <w:sz w:val="32"/>
          <w:szCs w:val="32"/>
        </w:rPr>
        <w:t>服务期限</w:t>
      </w:r>
      <w:r>
        <w:rPr>
          <w:rFonts w:hint="eastAsia" w:ascii="宋体" w:hAnsi="宋体" w:eastAsia="宋体" w:cs="宋体"/>
          <w:sz w:val="32"/>
          <w:szCs w:val="32"/>
        </w:rPr>
        <w:t>：自合同签订之日起</w:t>
      </w:r>
      <w:r>
        <w:rPr>
          <w:rFonts w:hint="eastAsia" w:ascii="宋体" w:hAnsi="宋体" w:eastAsia="宋体" w:cs="宋体"/>
          <w:b/>
          <w:sz w:val="32"/>
          <w:szCs w:val="32"/>
        </w:rPr>
        <w:t>10个</w:t>
      </w:r>
      <w:r>
        <w:rPr>
          <w:rFonts w:hint="eastAsia" w:ascii="宋体" w:hAnsi="宋体" w:eastAsia="宋体" w:cs="宋体"/>
          <w:b/>
          <w:sz w:val="32"/>
          <w:szCs w:val="32"/>
          <w:lang w:val="en-US" w:eastAsia="zh-CN"/>
        </w:rPr>
        <w:t>工作日</w:t>
      </w:r>
      <w:r>
        <w:rPr>
          <w:rFonts w:hint="eastAsia" w:ascii="宋体" w:hAnsi="宋体" w:eastAsia="宋体" w:cs="宋体"/>
          <w:sz w:val="32"/>
          <w:szCs w:val="32"/>
        </w:rPr>
        <w:t>内完成评估并出具评估报告。</w:t>
      </w:r>
    </w:p>
    <w:p w14:paraId="611186AC">
      <w:pPr>
        <w:pStyle w:val="16"/>
        <w:numPr>
          <w:ilvl w:val="0"/>
          <w:numId w:val="9"/>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b/>
          <w:sz w:val="32"/>
          <w:szCs w:val="32"/>
        </w:rPr>
        <w:t>验收标准</w:t>
      </w:r>
      <w:r>
        <w:rPr>
          <w:rFonts w:hint="eastAsia" w:ascii="宋体" w:hAnsi="宋体" w:eastAsia="宋体" w:cs="宋体"/>
          <w:sz w:val="32"/>
          <w:szCs w:val="32"/>
        </w:rPr>
        <w:t>：评估报告须内容完整、数据准确，符合《资产评估执业准则》要求，并经采购人书面确认验收通过。</w:t>
      </w:r>
    </w:p>
    <w:p w14:paraId="39AEEA09">
      <w:pPr>
        <w:spacing w:after="120" w:line="240" w:lineRule="auto"/>
        <w:rPr>
          <w:rFonts w:hint="eastAsia" w:ascii="宋体" w:hAnsi="宋体" w:eastAsia="宋体" w:cs="宋体"/>
          <w:sz w:val="32"/>
          <w:szCs w:val="32"/>
        </w:rPr>
      </w:pPr>
      <w:r>
        <w:rPr>
          <w:rFonts w:hint="eastAsia" w:ascii="宋体" w:hAnsi="宋体" w:eastAsia="宋体" w:cs="宋体"/>
          <w:sz w:val="32"/>
          <w:szCs w:val="32"/>
          <w:lang w:val="en-US" w:eastAsia="zh-CN"/>
        </w:rPr>
        <w:t>四</w:t>
      </w:r>
      <w:r>
        <w:rPr>
          <w:rFonts w:hint="eastAsia" w:ascii="宋体" w:hAnsi="宋体" w:eastAsia="宋体" w:cs="宋体"/>
          <w:sz w:val="32"/>
          <w:szCs w:val="32"/>
        </w:rPr>
        <w:t>、保密条款</w:t>
      </w:r>
    </w:p>
    <w:p w14:paraId="6951316D">
      <w:pPr>
        <w:pStyle w:val="16"/>
        <w:numPr>
          <w:ilvl w:val="0"/>
          <w:numId w:val="10"/>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rPr>
        <w:t>供应商及其参与人员对本项目实施过程中知悉的采购人所有信息（包括但不限于资产信息、财务数据、技术资料等）负有保密义务，未经采购人书面同意，不得向任何第三方披露。</w:t>
      </w:r>
    </w:p>
    <w:p w14:paraId="2AAD3E4F">
      <w:pPr>
        <w:pStyle w:val="16"/>
        <w:numPr>
          <w:ilvl w:val="0"/>
          <w:numId w:val="10"/>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rPr>
        <w:t>供应商须与采购人签订</w:t>
      </w:r>
      <w:r>
        <w:rPr>
          <w:rFonts w:hint="eastAsia" w:ascii="宋体" w:hAnsi="宋体" w:eastAsia="宋体" w:cs="宋体"/>
          <w:b/>
          <w:sz w:val="32"/>
          <w:szCs w:val="32"/>
        </w:rPr>
        <w:t>保密协议</w:t>
      </w:r>
      <w:r>
        <w:rPr>
          <w:rFonts w:hint="eastAsia" w:ascii="宋体" w:hAnsi="宋体" w:eastAsia="宋体" w:cs="宋体"/>
          <w:sz w:val="32"/>
          <w:szCs w:val="32"/>
        </w:rPr>
        <w:t>，保密义务在合同终止后仍持续有效。</w:t>
      </w:r>
    </w:p>
    <w:p w14:paraId="1162BAD7">
      <w:pPr>
        <w:pStyle w:val="16"/>
        <w:numPr>
          <w:ilvl w:val="0"/>
          <w:numId w:val="10"/>
        </w:numPr>
        <w:spacing w:after="120" w:line="288" w:lineRule="auto"/>
        <w:ind w:left="1020" w:leftChars="0" w:firstLineChars="0"/>
        <w:rPr>
          <w:rFonts w:hint="eastAsia" w:ascii="宋体" w:hAnsi="宋体" w:eastAsia="宋体" w:cs="宋体"/>
          <w:sz w:val="32"/>
          <w:szCs w:val="32"/>
        </w:rPr>
      </w:pPr>
      <w:r>
        <w:rPr>
          <w:rFonts w:hint="eastAsia" w:ascii="宋体" w:hAnsi="宋体" w:eastAsia="宋体" w:cs="宋体"/>
          <w:sz w:val="32"/>
          <w:szCs w:val="32"/>
        </w:rPr>
        <w:t>因供应商泄露信息给采购人造成损失的，供应商应承担全部法律责任及赔偿责任。</w:t>
      </w:r>
    </w:p>
    <w:p w14:paraId="1223AA9B">
      <w:pPr>
        <w:spacing w:after="120" w:line="240" w:lineRule="auto"/>
        <w:jc w:val="both"/>
        <w:rPr>
          <w:rFonts w:hint="default" w:ascii="宋体" w:hAnsi="宋体" w:eastAsia="宋体" w:cs="宋体"/>
          <w:color w:val="FF0000"/>
          <w:sz w:val="32"/>
          <w:szCs w:val="32"/>
          <w:highlight w:val="yellow"/>
          <w:lang w:val="en-US"/>
        </w:rPr>
      </w:pPr>
      <w:r>
        <w:rPr>
          <w:rFonts w:hint="eastAsia" w:ascii="宋体" w:hAnsi="宋体" w:eastAsia="宋体" w:cs="宋体"/>
          <w:snapToGrid w:val="0"/>
          <w:color w:val="FF0000"/>
          <w:kern w:val="0"/>
          <w:sz w:val="36"/>
          <w:szCs w:val="36"/>
          <w:highlight w:val="yellow"/>
          <w:lang w:val="en-US" w:eastAsia="zh-CN" w:bidi="ar-SA"/>
        </w:rPr>
        <w:t xml:space="preserve">请将上述要求资质+勘察回执单 </w:t>
      </w:r>
      <w:bookmarkStart w:id="0" w:name="_GoBack"/>
      <w:bookmarkEnd w:id="0"/>
      <w:r>
        <w:rPr>
          <w:rFonts w:hint="eastAsia" w:ascii="宋体" w:hAnsi="宋体" w:eastAsia="宋体" w:cs="宋体"/>
          <w:snapToGrid w:val="0"/>
          <w:color w:val="FF0000"/>
          <w:kern w:val="0"/>
          <w:sz w:val="36"/>
          <w:szCs w:val="36"/>
          <w:highlight w:val="yellow"/>
          <w:lang w:val="en-US" w:eastAsia="zh-CN" w:bidi="ar-SA"/>
        </w:rPr>
        <w:t>发送至采购办邮箱：zyyzbb2014@163.com，不发送视为无效竞价。</w:t>
      </w:r>
    </w:p>
    <w:sectPr>
      <w:pgSz w:w="12240" w:h="15840"/>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MS Mincho">
    <w:panose1 w:val="02020609040205080304"/>
    <w:charset w:val="80"/>
    <w:family w:val="auto"/>
    <w:pitch w:val="default"/>
    <w:sig w:usb0="A00002BF" w:usb1="68C7FCFB" w:usb2="00000010" w:usb3="00000000" w:csb0="4002009F" w:csb1="DFD7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5"/>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0"/>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6"/>
      <w:lvlText w:val="%1."/>
      <w:lvlJc w:val="left"/>
      <w:pPr>
        <w:tabs>
          <w:tab w:val="left" w:pos="360"/>
        </w:tabs>
        <w:ind w:left="1020" w:hanging="360"/>
      </w:pPr>
    </w:lvl>
  </w:abstractNum>
  <w:abstractNum w:abstractNumId="5">
    <w:nsid w:val="FFFFFF89"/>
    <w:multiLevelType w:val="singleLevel"/>
    <w:tmpl w:val="FFFFFF89"/>
    <w:lvl w:ilvl="0" w:tentative="0">
      <w:start w:val="1"/>
      <w:numFmt w:val="bullet"/>
      <w:pStyle w:val="18"/>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55800E9"/>
    <w:rsid w:val="334D33DB"/>
    <w:rsid w:val="3C0115D4"/>
    <w:rsid w:val="5B691418"/>
    <w:rsid w:val="783704B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5">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6">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7">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8">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9">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10">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1">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2">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3">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44"/>
    <w:unhideWhenUsed/>
    <w:qFormat/>
    <w:uiPriority w:val="99"/>
    <w:pPr>
      <w:spacing w:after="120"/>
    </w:pPr>
  </w:style>
  <w:style w:type="paragraph" w:styleId="3">
    <w:name w:val="Body Text 2"/>
    <w:basedOn w:val="1"/>
    <w:next w:val="2"/>
    <w:link w:val="145"/>
    <w:unhideWhenUsed/>
    <w:qFormat/>
    <w:uiPriority w:val="99"/>
    <w:pPr>
      <w:spacing w:after="120" w:line="480" w:lineRule="auto"/>
    </w:pPr>
  </w:style>
  <w:style w:type="paragraph" w:styleId="4">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4">
    <w:name w:val="List 3"/>
    <w:basedOn w:val="1"/>
    <w:unhideWhenUsed/>
    <w:qFormat/>
    <w:uiPriority w:val="99"/>
    <w:pPr>
      <w:ind w:left="1080" w:hanging="360"/>
      <w:contextualSpacing/>
    </w:pPr>
  </w:style>
  <w:style w:type="paragraph" w:styleId="15">
    <w:name w:val="List Number 2"/>
    <w:basedOn w:val="1"/>
    <w:unhideWhenUsed/>
    <w:qFormat/>
    <w:uiPriority w:val="99"/>
    <w:pPr>
      <w:numPr>
        <w:ilvl w:val="0"/>
        <w:numId w:val="1"/>
      </w:numPr>
      <w:contextualSpacing/>
    </w:pPr>
  </w:style>
  <w:style w:type="paragraph" w:styleId="16">
    <w:name w:val="List Number"/>
    <w:basedOn w:val="1"/>
    <w:unhideWhenUsed/>
    <w:qFormat/>
    <w:uiPriority w:val="99"/>
    <w:pPr>
      <w:numPr>
        <w:ilvl w:val="0"/>
        <w:numId w:val="2"/>
      </w:numPr>
      <w:contextualSpacing/>
    </w:pPr>
  </w:style>
  <w:style w:type="paragraph" w:styleId="1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8">
    <w:name w:val="List Bullet"/>
    <w:basedOn w:val="1"/>
    <w:unhideWhenUsed/>
    <w:qFormat/>
    <w:uiPriority w:val="99"/>
    <w:pPr>
      <w:numPr>
        <w:ilvl w:val="0"/>
        <w:numId w:val="3"/>
      </w:numPr>
      <w:contextualSpacing/>
    </w:pPr>
  </w:style>
  <w:style w:type="paragraph" w:styleId="19">
    <w:name w:val="Body Text 3"/>
    <w:basedOn w:val="1"/>
    <w:link w:val="146"/>
    <w:unhideWhenUsed/>
    <w:qFormat/>
    <w:uiPriority w:val="99"/>
    <w:pPr>
      <w:spacing w:after="120"/>
    </w:pPr>
    <w:rPr>
      <w:sz w:val="16"/>
      <w:szCs w:val="16"/>
    </w:rPr>
  </w:style>
  <w:style w:type="paragraph" w:styleId="20">
    <w:name w:val="List Bullet 3"/>
    <w:basedOn w:val="1"/>
    <w:unhideWhenUsed/>
    <w:qFormat/>
    <w:uiPriority w:val="99"/>
    <w:pPr>
      <w:numPr>
        <w:ilvl w:val="0"/>
        <w:numId w:val="4"/>
      </w:numPr>
      <w:contextualSpacing/>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6"/>
    <w:unhideWhenUsed/>
    <w:qFormat/>
    <w:uiPriority w:val="99"/>
    <w:pPr>
      <w:tabs>
        <w:tab w:val="center" w:pos="4680"/>
        <w:tab w:val="right" w:pos="9360"/>
      </w:tabs>
      <w:spacing w:after="0" w:line="240" w:lineRule="auto"/>
    </w:pPr>
  </w:style>
  <w:style w:type="paragraph" w:styleId="26">
    <w:name w:val="header"/>
    <w:basedOn w:val="1"/>
    <w:link w:val="135"/>
    <w:unhideWhenUsed/>
    <w:qFormat/>
    <w:uiPriority w:val="99"/>
    <w:pPr>
      <w:tabs>
        <w:tab w:val="center" w:pos="4680"/>
        <w:tab w:val="right" w:pos="9360"/>
      </w:tabs>
      <w:spacing w:after="0" w:line="240" w:lineRule="auto"/>
    </w:pPr>
  </w:style>
  <w:style w:type="paragraph" w:styleId="27">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6"/>
    <w:uiPriority w:val="99"/>
  </w:style>
  <w:style w:type="character" w:customStyle="1" w:styleId="136">
    <w:name w:val="Footer Char"/>
    <w:basedOn w:val="132"/>
    <w:link w:val="25"/>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5"/>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6"/>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7"/>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2"/>
    <w:qFormat/>
    <w:uiPriority w:val="99"/>
  </w:style>
  <w:style w:type="character" w:customStyle="1" w:styleId="145">
    <w:name w:val="Body Text 2 Char"/>
    <w:basedOn w:val="132"/>
    <w:link w:val="3"/>
    <w:qFormat/>
    <w:uiPriority w:val="99"/>
  </w:style>
  <w:style w:type="character" w:customStyle="1" w:styleId="146">
    <w:name w:val="Body Text 3 Char"/>
    <w:basedOn w:val="132"/>
    <w:link w:val="19"/>
    <w:qFormat/>
    <w:uiPriority w:val="99"/>
    <w:rPr>
      <w:sz w:val="16"/>
      <w:szCs w:val="16"/>
    </w:rPr>
  </w:style>
  <w:style w:type="character" w:customStyle="1" w:styleId="147">
    <w:name w:val="Macro Text Char"/>
    <w:basedOn w:val="132"/>
    <w:link w:val="4"/>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8"/>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9"/>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10"/>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11"/>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2"/>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3"/>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5"/>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846</Words>
  <Characters>867</Characters>
  <Lines>0</Lines>
  <Paragraphs>0</Paragraphs>
  <TotalTime>10</TotalTime>
  <ScaleCrop>false</ScaleCrop>
  <LinksUpToDate>false</LinksUpToDate>
  <CharactersWithSpaces>867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驻马店市中医院招标办</cp:lastModifiedBy>
  <cp:lastPrinted>2026-05-27T01:25:00Z</cp:lastPrinted>
  <dcterms:modified xsi:type="dcterms:W3CDTF">2026-07-04T02:11:18Z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eyJoZGlkIjoiYzAyZmVkN2UzYzJlNWUwZDVkODczYTBmM2VlOTcwOWMiLCJ1c2VySWQiOiIxMTM3NDM2MzI0In0=</vt:lpwstr>
  </property>
  <property fmtid="{D5CDD505-2E9C-101B-9397-08002B2CF9AE}" pid="3" name="KSOProductBuildVer">
    <vt:lpwstr>2052-12.1.0.26895</vt:lpwstr>
  </property>
  <property fmtid="{D5CDD505-2E9C-101B-9397-08002B2CF9AE}" pid="4" name="ICV">
    <vt:lpwstr>81DD6E2BE78147ED9915325FB0B5AE92_12</vt:lpwstr>
  </property>
</Properties>
</file>