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667A0">
      <w:pPr>
        <w:pStyle w:val="2"/>
        <w:spacing w:before="0" w:line="400" w:lineRule="exact"/>
        <w:rPr>
          <w:rStyle w:val="34"/>
          <w:rFonts w:ascii="宋体" w:hAnsi="宋体" w:cstheme="minorBidi"/>
          <w:b/>
          <w:color w:val="000000" w:themeColor="text1"/>
          <w:szCs w:val="32"/>
          <w14:textFill>
            <w14:solidFill>
              <w14:schemeClr w14:val="tx1"/>
            </w14:solidFill>
          </w14:textFill>
        </w:rPr>
      </w:pPr>
      <w:r>
        <w:rPr>
          <w:rStyle w:val="34"/>
          <w:rFonts w:hint="eastAsia" w:ascii="宋体" w:hAnsi="宋体" w:cstheme="minorBidi"/>
          <w:b/>
          <w:color w:val="000000" w:themeColor="text1"/>
          <w:szCs w:val="32"/>
          <w14:textFill>
            <w14:solidFill>
              <w14:schemeClr w14:val="tx1"/>
            </w14:solidFill>
          </w14:textFill>
        </w:rPr>
        <w:t>一、供应商要求</w:t>
      </w:r>
    </w:p>
    <w:p w14:paraId="595DAC74">
      <w:pPr>
        <w:pStyle w:val="3"/>
        <w:tabs>
          <w:tab w:val="left" w:pos="420"/>
        </w:tabs>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w:t>
      </w:r>
      <w:r>
        <w:rPr>
          <w:rFonts w:ascii="宋体" w:hAnsi="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具备《中华人民共和国政府采购法》第二十二条规定的条件：</w:t>
      </w:r>
    </w:p>
    <w:p w14:paraId="47D71DF3">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（一）具有独立承担民事责任的能力；</w:t>
      </w:r>
    </w:p>
    <w:p w14:paraId="0AFACE4C">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（二）具有良好的商业信誉和健全的财务会计制度，提供上一年度的财务审计报告；</w:t>
      </w:r>
    </w:p>
    <w:p w14:paraId="3AE15E52">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（三）具有履行合同所必需的设备和专业技术能力；</w:t>
      </w:r>
    </w:p>
    <w:p w14:paraId="64A874D9">
      <w:pPr>
        <w:widowControl/>
        <w:spacing w:line="360" w:lineRule="exact"/>
        <w:ind w:firstLine="480" w:firstLineChars="200"/>
        <w:jc w:val="left"/>
        <w:rPr>
          <w:rFonts w:ascii="宋体" w:hAnsi="宋体" w:cs="宋体"/>
          <w:color w:val="FF0000"/>
          <w:kern w:val="0"/>
          <w:sz w:val="24"/>
          <w:szCs w:val="24"/>
        </w:rPr>
      </w:pPr>
      <w:r>
        <w:rPr>
          <w:rFonts w:hint="eastAsia" w:ascii="宋体" w:hAnsi="宋体" w:cs="宋体"/>
          <w:color w:val="000000"/>
          <w:kern w:val="0"/>
          <w:sz w:val="24"/>
          <w:szCs w:val="24"/>
        </w:rPr>
        <w:t>（四）具有近3个月的依法缴纳税收和社会保障资金的良好记录；</w:t>
      </w:r>
    </w:p>
    <w:p w14:paraId="6060F53E">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（五）参加政府采购活动前三年内，在经营活动中没有重大违法记录；</w:t>
      </w:r>
    </w:p>
    <w:p w14:paraId="2FE075B4">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（六）</w:t>
      </w:r>
      <w:r>
        <w:rPr>
          <w:rFonts w:hint="eastAsia" w:ascii="宋体" w:hAnsi="宋体" w:cs="宋体"/>
          <w:bCs/>
          <w:sz w:val="24"/>
          <w:szCs w:val="24"/>
        </w:rPr>
        <w:t>在“信用中国”网站(www.creditchina.gov.cn)中被列入失信被执行人、重大税收违法案件当事人名单、政府采购严重违法失信行为记录名单</w:t>
      </w:r>
      <w:r>
        <w:rPr>
          <w:rFonts w:hint="eastAsia" w:ascii="宋体" w:hAnsi="宋体" w:cs="宋体"/>
          <w:color w:val="000000"/>
          <w:kern w:val="0"/>
          <w:sz w:val="24"/>
          <w:szCs w:val="24"/>
        </w:rPr>
        <w:t>，拒绝其参与本招标项目；</w:t>
      </w:r>
    </w:p>
    <w:p w14:paraId="1CE3D812">
      <w:pPr>
        <w:widowControl/>
        <w:spacing w:line="36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（七）本项目不接受联合体投标。</w:t>
      </w:r>
    </w:p>
    <w:p w14:paraId="4876184E">
      <w:pPr>
        <w:pStyle w:val="4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八</w:t>
      </w:r>
      <w:r>
        <w:rPr>
          <w:rFonts w:hint="eastAsia" w:ascii="宋体" w:hAnsi="宋体" w:cs="宋体"/>
          <w:sz w:val="24"/>
          <w:highlight w:val="none"/>
          <w:lang w:eastAsia="zh-CN"/>
        </w:rPr>
        <w:t>）</w:t>
      </w:r>
      <w:r>
        <w:rPr>
          <w:rFonts w:hint="eastAsia" w:ascii="宋体" w:hAnsi="宋体" w:cs="宋体"/>
          <w:sz w:val="24"/>
          <w:highlight w:val="none"/>
        </w:rPr>
        <w:t>供应商须在国家密码管理局发布的</w:t>
      </w:r>
      <w:r>
        <w:rPr>
          <w:rFonts w:hint="eastAsia" w:ascii="宋体" w:hAnsi="宋体" w:cs="宋体"/>
          <w:sz w:val="24"/>
          <w:highlight w:val="none"/>
          <w:lang w:eastAsia="zh-CN"/>
        </w:rPr>
        <w:t>《</w:t>
      </w:r>
      <w:r>
        <w:rPr>
          <w:rFonts w:hint="eastAsia" w:ascii="宋体" w:hAnsi="宋体" w:cs="宋体"/>
          <w:sz w:val="24"/>
          <w:highlight w:val="none"/>
          <w:lang w:val="en-US" w:eastAsia="zh-CN"/>
        </w:rPr>
        <w:t>商用密码检测机构（商用密码应用安全性评估业务）目录</w:t>
      </w:r>
      <w:r>
        <w:rPr>
          <w:rFonts w:hint="eastAsia" w:ascii="宋体" w:hAnsi="宋体" w:cs="宋体"/>
          <w:sz w:val="24"/>
          <w:highlight w:val="none"/>
          <w:lang w:eastAsia="zh-CN"/>
        </w:rPr>
        <w:t>》</w:t>
      </w:r>
      <w:r>
        <w:rPr>
          <w:rFonts w:hint="eastAsia" w:ascii="宋体" w:hAnsi="宋体" w:cs="宋体"/>
          <w:sz w:val="24"/>
          <w:highlight w:val="none"/>
        </w:rPr>
        <w:t>国家密码管理局公告（第</w:t>
      </w:r>
      <w:r>
        <w:rPr>
          <w:rFonts w:hint="eastAsia" w:ascii="宋体" w:hAnsi="宋体" w:cs="宋体"/>
          <w:sz w:val="24"/>
          <w:highlight w:val="none"/>
          <w:lang w:val="en-US" w:eastAsia="zh-CN"/>
        </w:rPr>
        <w:t>53</w:t>
      </w:r>
      <w:r>
        <w:rPr>
          <w:rFonts w:hint="eastAsia" w:ascii="宋体" w:hAnsi="宋体" w:cs="宋体"/>
          <w:sz w:val="24"/>
          <w:highlight w:val="none"/>
        </w:rPr>
        <w:t>号）内，提供证明文件）。</w:t>
      </w:r>
    </w:p>
    <w:p w14:paraId="05ED12E8">
      <w:pPr>
        <w:pStyle w:val="15"/>
      </w:pPr>
    </w:p>
    <w:p w14:paraId="45F592DE">
      <w:pPr>
        <w:pStyle w:val="3"/>
        <w:tabs>
          <w:tab w:val="left" w:pos="420"/>
        </w:tabs>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w:t>
      </w:r>
      <w:r>
        <w:rPr>
          <w:rFonts w:ascii="宋体" w:hAnsi="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供应商必须提供的资质要求：</w:t>
      </w:r>
    </w:p>
    <w:tbl>
      <w:tblPr>
        <w:tblStyle w:val="21"/>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7471"/>
      </w:tblGrid>
      <w:tr w14:paraId="63F4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1574" w:type="dxa"/>
            <w:vAlign w:val="center"/>
          </w:tcPr>
          <w:p w14:paraId="52D10310">
            <w:pPr>
              <w:autoSpaceDE w:val="0"/>
              <w:autoSpaceDN w:val="0"/>
              <w:adjustRightInd w:val="0"/>
              <w:spacing w:line="360" w:lineRule="exact"/>
              <w:jc w:val="center"/>
              <w:rPr>
                <w:rFonts w:ascii="宋体" w:hAnsi="宋体" w:cs="宋体"/>
                <w:b/>
                <w:sz w:val="24"/>
                <w:szCs w:val="24"/>
              </w:rPr>
            </w:pPr>
            <w:r>
              <w:rPr>
                <w:rFonts w:hint="eastAsia" w:ascii="宋体" w:hAnsi="宋体" w:cs="宋体"/>
                <w:b/>
                <w:sz w:val="24"/>
                <w:szCs w:val="24"/>
              </w:rPr>
              <w:t>条款内容</w:t>
            </w:r>
          </w:p>
        </w:tc>
        <w:tc>
          <w:tcPr>
            <w:tcW w:w="7471" w:type="dxa"/>
          </w:tcPr>
          <w:p w14:paraId="43773C95">
            <w:pPr>
              <w:autoSpaceDE w:val="0"/>
              <w:autoSpaceDN w:val="0"/>
              <w:adjustRightInd w:val="0"/>
              <w:spacing w:line="360" w:lineRule="exact"/>
              <w:jc w:val="center"/>
              <w:rPr>
                <w:rFonts w:ascii="宋体" w:hAnsi="宋体" w:cs="宋体"/>
                <w:b/>
                <w:sz w:val="24"/>
                <w:szCs w:val="24"/>
              </w:rPr>
            </w:pPr>
            <w:r>
              <w:rPr>
                <w:rFonts w:hint="eastAsia" w:ascii="宋体" w:hAnsi="宋体" w:cs="宋体"/>
                <w:b/>
                <w:sz w:val="24"/>
                <w:szCs w:val="24"/>
              </w:rPr>
              <w:t>评审标准</w:t>
            </w:r>
          </w:p>
        </w:tc>
      </w:tr>
      <w:tr w14:paraId="2BC5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1574" w:type="dxa"/>
            <w:vAlign w:val="center"/>
          </w:tcPr>
          <w:p w14:paraId="6A838C96">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服务技术能力</w:t>
            </w:r>
          </w:p>
        </w:tc>
        <w:tc>
          <w:tcPr>
            <w:tcW w:w="7471" w:type="dxa"/>
          </w:tcPr>
          <w:p w14:paraId="240D606A">
            <w:pPr>
              <w:pStyle w:val="42"/>
              <w:ind w:left="0" w:leftChars="0" w:firstLine="0" w:firstLineChars="0"/>
              <w:rPr>
                <w:b/>
                <w:bCs/>
                <w:lang w:val="en-US"/>
              </w:rPr>
            </w:pPr>
            <w:r>
              <w:rPr>
                <w:rFonts w:hint="eastAsia"/>
                <w:b/>
                <w:bCs/>
                <w:lang w:val="en-US"/>
              </w:rPr>
              <w:t>为了保证测评过程顺利进行，供应商须具备以下资质：</w:t>
            </w:r>
          </w:p>
          <w:p w14:paraId="2F622F1B">
            <w:pPr>
              <w:pStyle w:val="46"/>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cs="宋体"/>
                <w:snapToGrid w:val="0"/>
                <w:color w:val="auto"/>
                <w:sz w:val="24"/>
                <w:szCs w:val="24"/>
                <w:lang w:val="en-US" w:eastAsia="zh-CN"/>
              </w:rPr>
              <w:t>参与供应商</w:t>
            </w:r>
            <w:r>
              <w:rPr>
                <w:rFonts w:hint="eastAsia" w:ascii="宋体" w:hAnsi="宋体" w:cs="宋体"/>
                <w:snapToGrid w:val="0"/>
                <w:color w:val="auto"/>
                <w:sz w:val="24"/>
                <w:szCs w:val="24"/>
                <w:lang w:val="zh-CN"/>
              </w:rPr>
              <w:t>具备中国网络安全审查技术与认证中心颁发的</w:t>
            </w:r>
            <w:r>
              <w:rPr>
                <w:rFonts w:hint="eastAsia" w:ascii="宋体" w:hAnsi="宋体" w:cs="宋体"/>
                <w:snapToGrid w:val="0"/>
                <w:color w:val="auto"/>
                <w:sz w:val="24"/>
                <w:szCs w:val="24"/>
                <w:lang w:val="zh-CN" w:eastAsia="zh-TW"/>
              </w:rPr>
              <w:t>信息安全风险评估服务资质证书三级及以上（</w:t>
            </w:r>
            <w:r>
              <w:rPr>
                <w:rFonts w:hint="eastAsia" w:ascii="宋体" w:hAnsi="宋体" w:cs="宋体"/>
                <w:snapToGrid w:val="0"/>
                <w:color w:val="auto"/>
                <w:sz w:val="24"/>
                <w:szCs w:val="24"/>
                <w:lang w:val="en-US" w:eastAsia="zh-CN"/>
              </w:rPr>
              <w:t>二级、一级</w:t>
            </w:r>
            <w:r>
              <w:rPr>
                <w:rFonts w:hint="eastAsia" w:ascii="宋体" w:hAnsi="宋体" w:cs="宋体"/>
                <w:snapToGrid w:val="0"/>
                <w:color w:val="auto"/>
                <w:sz w:val="24"/>
                <w:szCs w:val="24"/>
                <w:lang w:val="zh-CN" w:eastAsia="zh-TW"/>
              </w:rPr>
              <w:t>）证书</w:t>
            </w:r>
            <w:r>
              <w:rPr>
                <w:rFonts w:hint="eastAsia" w:ascii="宋体" w:hAnsi="宋体" w:eastAsia="宋体" w:cs="宋体"/>
                <w:kern w:val="2"/>
                <w:sz w:val="24"/>
                <w:szCs w:val="24"/>
                <w:lang w:val="en-US" w:eastAsia="zh-CN" w:bidi="ar-SA"/>
              </w:rPr>
              <w:t>。</w:t>
            </w:r>
          </w:p>
          <w:p w14:paraId="2E630242">
            <w:pPr>
              <w:pStyle w:val="4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注：提供证书复印件。</w:t>
            </w:r>
          </w:p>
          <w:p w14:paraId="5A7F88AF">
            <w:pPr>
              <w:keepNext w:val="0"/>
              <w:keepLines w:val="0"/>
              <w:pageBreakBefore w:val="0"/>
              <w:widowControl w:val="0"/>
              <w:numPr>
                <w:ilvl w:val="0"/>
                <w:numId w:val="2"/>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密评机</w:t>
            </w:r>
            <w:r>
              <w:rPr>
                <w:rFonts w:hint="eastAsia" w:ascii="宋体" w:hAnsi="宋体" w:cs="宋体"/>
                <w:sz w:val="24"/>
                <w:szCs w:val="24"/>
              </w:rPr>
              <w:t>构必须确保能建立一支具有一定服务能力的管理团队，组建一个测评实施小组，在项目实施过程中提供伴随式测评，安全保障服务，关键数据安全管理咨询服务。</w:t>
            </w:r>
            <w:r>
              <w:rPr>
                <w:rFonts w:hint="eastAsia" w:ascii="宋体" w:hAnsi="宋体" w:cs="宋体"/>
                <w:sz w:val="24"/>
                <w:szCs w:val="24"/>
                <w:lang w:val="en-US" w:eastAsia="zh-CN"/>
              </w:rPr>
              <w:t>项目团队所有人员须具备</w:t>
            </w:r>
            <w:r>
              <w:rPr>
                <w:rFonts w:hint="eastAsia" w:ascii="宋体" w:hAnsi="宋体" w:cs="宋体"/>
                <w:snapToGrid w:val="0"/>
                <w:color w:val="auto"/>
                <w:sz w:val="24"/>
                <w:szCs w:val="24"/>
                <w:lang w:val="zh-CN"/>
              </w:rPr>
              <w:t>商用密码应用安全性评估人员测评能力考核，</w:t>
            </w:r>
            <w:r>
              <w:rPr>
                <w:rFonts w:hint="eastAsia" w:ascii="宋体" w:hAnsi="宋体" w:cs="宋体"/>
                <w:snapToGrid w:val="0"/>
                <w:color w:val="auto"/>
                <w:sz w:val="24"/>
                <w:szCs w:val="24"/>
                <w:lang w:val="en-US" w:eastAsia="zh-CN"/>
              </w:rPr>
              <w:t>其中</w:t>
            </w:r>
            <w:r>
              <w:rPr>
                <w:rFonts w:hint="eastAsia" w:ascii="宋体" w:hAnsi="宋体" w:cs="宋体"/>
                <w:sz w:val="24"/>
                <w:szCs w:val="24"/>
              </w:rPr>
              <w:t>项目负责人5年经验，具有高级商用密码数据存储与灾难恢复工程师证书，具有商用密码安全性评估数据分析工程师。</w:t>
            </w:r>
          </w:p>
          <w:p w14:paraId="25C4023D">
            <w:pPr>
              <w:numPr>
                <w:ilvl w:val="0"/>
                <w:numId w:val="0"/>
              </w:numPr>
              <w:rPr>
                <w:rFonts w:hint="default" w:eastAsia="宋体"/>
                <w:lang w:val="en-US" w:eastAsia="zh-CN"/>
              </w:rPr>
            </w:pPr>
            <w:r>
              <w:rPr>
                <w:rFonts w:hint="eastAsia" w:ascii="宋体" w:hAnsi="宋体" w:eastAsia="宋体" w:cs="宋体"/>
                <w:sz w:val="24"/>
                <w:szCs w:val="24"/>
                <w:lang w:val="en-US" w:eastAsia="zh-CN"/>
              </w:rPr>
              <w:t>注：报价文件中附认证证书复印件。</w:t>
            </w:r>
          </w:p>
        </w:tc>
      </w:tr>
      <w:tr w14:paraId="767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574" w:type="dxa"/>
            <w:vAlign w:val="center"/>
          </w:tcPr>
          <w:p w14:paraId="231C1133">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实施方案</w:t>
            </w:r>
          </w:p>
        </w:tc>
        <w:tc>
          <w:tcPr>
            <w:tcW w:w="7471" w:type="dxa"/>
          </w:tcPr>
          <w:p w14:paraId="04F59B04">
            <w:pPr>
              <w:spacing w:line="360" w:lineRule="exact"/>
              <w:rPr>
                <w:rFonts w:ascii="宋体" w:hAnsi="宋体" w:cs="宋体"/>
                <w:sz w:val="24"/>
                <w:szCs w:val="24"/>
              </w:rPr>
            </w:pPr>
            <w:r>
              <w:rPr>
                <w:rFonts w:hint="eastAsia" w:ascii="宋体" w:hAnsi="宋体" w:cs="宋体"/>
                <w:sz w:val="24"/>
                <w:szCs w:val="24"/>
              </w:rPr>
              <w:t>提供本项目整体服务方案，根据国家及省</w:t>
            </w:r>
            <w:r>
              <w:rPr>
                <w:rFonts w:hint="eastAsia" w:ascii="宋体" w:hAnsi="宋体" w:cs="宋体"/>
                <w:sz w:val="24"/>
                <w:szCs w:val="24"/>
                <w:lang w:val="en-US" w:eastAsia="zh-CN"/>
              </w:rPr>
              <w:t>密码应用安全性评估</w:t>
            </w:r>
            <w:r>
              <w:rPr>
                <w:rFonts w:hint="eastAsia" w:ascii="宋体" w:hAnsi="宋体" w:cs="宋体"/>
                <w:sz w:val="24"/>
                <w:szCs w:val="24"/>
              </w:rPr>
              <w:t>工作的最新要求并结合同类项目的实施经验，提出完善的项目实施方案与服务，实施计划可操作性、交付物清晰完善、人员安排合理。</w:t>
            </w:r>
          </w:p>
        </w:tc>
      </w:tr>
    </w:tbl>
    <w:p w14:paraId="77A516AF">
      <w:pPr>
        <w:pStyle w:val="2"/>
        <w:numPr>
          <w:ilvl w:val="0"/>
          <w:numId w:val="3"/>
        </w:numPr>
        <w:spacing w:before="0" w:line="400" w:lineRule="exact"/>
        <w:rPr>
          <w:rStyle w:val="34"/>
          <w:rFonts w:ascii="宋体" w:hAnsi="宋体" w:cstheme="minorBidi"/>
          <w:b/>
          <w:color w:val="000000" w:themeColor="text1"/>
          <w:szCs w:val="32"/>
          <w14:textFill>
            <w14:solidFill>
              <w14:schemeClr w14:val="tx1"/>
            </w14:solidFill>
          </w14:textFill>
        </w:rPr>
      </w:pPr>
      <w:bookmarkStart w:id="6" w:name="_GoBack"/>
      <w:bookmarkEnd w:id="6"/>
      <w:r>
        <w:rPr>
          <w:rStyle w:val="34"/>
          <w:rFonts w:hint="eastAsia" w:ascii="宋体" w:hAnsi="宋体" w:cstheme="minorBidi"/>
          <w:b/>
          <w:color w:val="000000" w:themeColor="text1"/>
          <w:szCs w:val="32"/>
          <w14:textFill>
            <w14:solidFill>
              <w14:schemeClr w14:val="tx1"/>
            </w14:solidFill>
          </w14:textFill>
        </w:rPr>
        <w:t>技术要求</w:t>
      </w:r>
    </w:p>
    <w:p w14:paraId="3DD0718C">
      <w:pPr>
        <w:spacing w:line="360" w:lineRule="auto"/>
        <w:ind w:firstLine="480" w:firstLineChars="200"/>
        <w:jc w:val="left"/>
        <w:rPr>
          <w:rFonts w:hint="eastAsia" w:ascii="宋体" w:hAnsi="宋体" w:cs="宋体"/>
          <w:sz w:val="24"/>
        </w:rPr>
      </w:pPr>
      <w:bookmarkStart w:id="0" w:name="_Toc493593723"/>
      <w:bookmarkStart w:id="1" w:name="_Toc493593500"/>
      <w:r>
        <w:rPr>
          <w:rFonts w:hint="eastAsia" w:ascii="宋体" w:hAnsi="宋体" w:cs="宋体"/>
          <w:sz w:val="24"/>
        </w:rPr>
        <w:t>1、</w:t>
      </w:r>
      <w:bookmarkStart w:id="2" w:name="_Toc3475410"/>
      <w:r>
        <w:rPr>
          <w:rFonts w:hint="eastAsia" w:ascii="宋体" w:hAnsi="宋体" w:cs="宋体"/>
          <w:sz w:val="24"/>
        </w:rPr>
        <w:t>项目一览表</w:t>
      </w:r>
      <w:bookmarkEnd w:id="2"/>
      <w:bookmarkStart w:id="3" w:name="_Toc3475411"/>
    </w:p>
    <w:tbl>
      <w:tblPr>
        <w:tblStyle w:val="21"/>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2329"/>
        <w:gridCol w:w="2953"/>
      </w:tblGrid>
      <w:tr w14:paraId="3C32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56" w:type="dxa"/>
            <w:tcBorders>
              <w:top w:val="single" w:color="auto" w:sz="4" w:space="0"/>
              <w:left w:val="single" w:color="auto" w:sz="4" w:space="0"/>
              <w:right w:val="single" w:color="auto" w:sz="4" w:space="0"/>
            </w:tcBorders>
            <w:noWrap w:val="0"/>
            <w:vAlign w:val="center"/>
          </w:tcPr>
          <w:p w14:paraId="7D50FC8F">
            <w:pPr>
              <w:widowControl/>
              <w:tabs>
                <w:tab w:val="left" w:pos="0"/>
              </w:tabs>
              <w:spacing w:line="360" w:lineRule="auto"/>
              <w:jc w:val="center"/>
              <w:rPr>
                <w:rFonts w:hint="eastAsia" w:ascii="宋体" w:hAnsi="宋体" w:cs="宋体"/>
                <w:bCs/>
                <w:sz w:val="24"/>
              </w:rPr>
            </w:pPr>
            <w:r>
              <w:rPr>
                <w:rFonts w:hint="eastAsia" w:ascii="宋体" w:hAnsi="宋体" w:cs="宋体"/>
                <w:bCs/>
                <w:sz w:val="24"/>
              </w:rPr>
              <w:t>项目名称</w:t>
            </w:r>
          </w:p>
        </w:tc>
        <w:tc>
          <w:tcPr>
            <w:tcW w:w="2329" w:type="dxa"/>
            <w:tcBorders>
              <w:top w:val="single" w:color="auto" w:sz="4" w:space="0"/>
              <w:left w:val="single" w:color="auto" w:sz="4" w:space="0"/>
              <w:right w:val="single" w:color="auto" w:sz="4" w:space="0"/>
            </w:tcBorders>
            <w:noWrap w:val="0"/>
            <w:vAlign w:val="center"/>
          </w:tcPr>
          <w:p w14:paraId="14DFDB8E">
            <w:pPr>
              <w:widowControl/>
              <w:tabs>
                <w:tab w:val="left" w:pos="0"/>
              </w:tabs>
              <w:spacing w:line="360" w:lineRule="auto"/>
              <w:jc w:val="center"/>
              <w:rPr>
                <w:rFonts w:hint="eastAsia" w:ascii="宋体" w:hAnsi="宋体" w:cs="宋体"/>
                <w:bCs/>
                <w:sz w:val="24"/>
              </w:rPr>
            </w:pPr>
            <w:r>
              <w:rPr>
                <w:rFonts w:hint="eastAsia" w:ascii="宋体" w:hAnsi="宋体" w:cs="宋体"/>
                <w:bCs/>
                <w:sz w:val="24"/>
              </w:rPr>
              <w:t>系统名称</w:t>
            </w:r>
          </w:p>
        </w:tc>
        <w:tc>
          <w:tcPr>
            <w:tcW w:w="2953" w:type="dxa"/>
            <w:tcBorders>
              <w:top w:val="single" w:color="auto" w:sz="4" w:space="0"/>
              <w:left w:val="single" w:color="auto" w:sz="4" w:space="0"/>
              <w:right w:val="single" w:color="auto" w:sz="4" w:space="0"/>
            </w:tcBorders>
            <w:noWrap w:val="0"/>
            <w:vAlign w:val="center"/>
          </w:tcPr>
          <w:p w14:paraId="79067600">
            <w:pPr>
              <w:widowControl/>
              <w:tabs>
                <w:tab w:val="left" w:pos="0"/>
              </w:tabs>
              <w:spacing w:line="360" w:lineRule="auto"/>
              <w:jc w:val="center"/>
              <w:rPr>
                <w:rFonts w:hint="eastAsia" w:ascii="宋体" w:hAnsi="宋体" w:cs="宋体"/>
                <w:bCs/>
                <w:sz w:val="24"/>
              </w:rPr>
            </w:pPr>
            <w:r>
              <w:rPr>
                <w:rFonts w:hint="eastAsia" w:ascii="宋体" w:hAnsi="宋体" w:cs="宋体"/>
                <w:bCs/>
                <w:sz w:val="24"/>
              </w:rPr>
              <w:t>采购单位</w:t>
            </w:r>
          </w:p>
        </w:tc>
      </w:tr>
      <w:tr w14:paraId="36FE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2956" w:type="dxa"/>
            <w:tcBorders>
              <w:top w:val="single" w:color="auto" w:sz="4" w:space="0"/>
              <w:left w:val="single" w:color="auto" w:sz="4" w:space="0"/>
              <w:right w:val="single" w:color="auto" w:sz="4" w:space="0"/>
            </w:tcBorders>
            <w:noWrap w:val="0"/>
            <w:vAlign w:val="center"/>
          </w:tcPr>
          <w:p w14:paraId="3256D1BE">
            <w:pPr>
              <w:widowControl/>
              <w:spacing w:line="360" w:lineRule="auto"/>
              <w:jc w:val="both"/>
              <w:rPr>
                <w:rFonts w:hint="default" w:ascii="宋体" w:hAnsi="宋体" w:eastAsia="宋体" w:cs="宋体"/>
                <w:sz w:val="24"/>
                <w:lang w:val="en-US" w:eastAsia="zh-CN"/>
              </w:rPr>
            </w:pPr>
            <w:r>
              <w:rPr>
                <w:rFonts w:hint="eastAsia" w:ascii="宋体" w:hAnsi="宋体" w:cs="宋体"/>
                <w:sz w:val="24"/>
              </w:rPr>
              <w:t>财政综合办公系统（OA）</w:t>
            </w:r>
            <w:r>
              <w:rPr>
                <w:rFonts w:hint="eastAsia" w:ascii="宋体" w:hAnsi="宋体" w:cs="宋体"/>
                <w:sz w:val="24"/>
                <w:lang w:val="en-US" w:eastAsia="zh-CN"/>
              </w:rPr>
              <w:t>商用密码应用安全性评估服务项目</w:t>
            </w:r>
          </w:p>
        </w:tc>
        <w:tc>
          <w:tcPr>
            <w:tcW w:w="2329" w:type="dxa"/>
            <w:tcBorders>
              <w:top w:val="single" w:color="auto" w:sz="4" w:space="0"/>
              <w:left w:val="single" w:color="auto" w:sz="4" w:space="0"/>
              <w:right w:val="single" w:color="auto" w:sz="4" w:space="0"/>
            </w:tcBorders>
            <w:noWrap w:val="0"/>
            <w:vAlign w:val="center"/>
          </w:tcPr>
          <w:p w14:paraId="1174CF9E">
            <w:pPr>
              <w:widowControl/>
              <w:spacing w:line="360" w:lineRule="auto"/>
              <w:jc w:val="both"/>
              <w:rPr>
                <w:rFonts w:hint="eastAsia" w:ascii="宋体" w:hAnsi="宋体" w:cs="宋体"/>
                <w:sz w:val="24"/>
              </w:rPr>
            </w:pPr>
            <w:r>
              <w:rPr>
                <w:rFonts w:hint="eastAsia" w:ascii="宋体" w:hAnsi="宋体" w:cs="宋体"/>
                <w:sz w:val="24"/>
              </w:rPr>
              <w:t>财政综合办公系统（OA）</w:t>
            </w:r>
          </w:p>
        </w:tc>
        <w:tc>
          <w:tcPr>
            <w:tcW w:w="2953" w:type="dxa"/>
            <w:tcBorders>
              <w:top w:val="single" w:color="auto" w:sz="4" w:space="0"/>
              <w:left w:val="single" w:color="auto" w:sz="4" w:space="0"/>
              <w:right w:val="single" w:color="auto" w:sz="4" w:space="0"/>
            </w:tcBorders>
            <w:noWrap w:val="0"/>
            <w:vAlign w:val="center"/>
          </w:tcPr>
          <w:p w14:paraId="556F093E">
            <w:pPr>
              <w:widowControl/>
              <w:spacing w:line="360" w:lineRule="auto"/>
              <w:jc w:val="both"/>
              <w:rPr>
                <w:rFonts w:hint="default" w:ascii="宋体" w:hAnsi="宋体" w:eastAsia="宋体" w:cs="宋体"/>
                <w:sz w:val="24"/>
                <w:lang w:val="en-US" w:eastAsia="zh-CN"/>
              </w:rPr>
            </w:pPr>
            <w:r>
              <w:rPr>
                <w:rFonts w:hint="eastAsia" w:ascii="宋体" w:hAnsi="宋体" w:cs="宋体"/>
                <w:sz w:val="24"/>
                <w:lang w:val="en-US" w:eastAsia="zh-CN"/>
              </w:rPr>
              <w:t>驻马店市财政局</w:t>
            </w:r>
          </w:p>
        </w:tc>
      </w:tr>
    </w:tbl>
    <w:p w14:paraId="2C7E48CB">
      <w:pPr>
        <w:spacing w:line="360" w:lineRule="auto"/>
        <w:jc w:val="left"/>
        <w:rPr>
          <w:rFonts w:hint="eastAsia" w:ascii="宋体" w:hAnsi="宋体" w:cs="宋体"/>
          <w:sz w:val="24"/>
        </w:rPr>
      </w:pPr>
    </w:p>
    <w:p w14:paraId="1ED71551">
      <w:pPr>
        <w:spacing w:line="360" w:lineRule="auto"/>
        <w:ind w:firstLine="480" w:firstLineChars="200"/>
        <w:jc w:val="left"/>
        <w:rPr>
          <w:rFonts w:hint="eastAsia" w:ascii="宋体" w:hAnsi="宋体" w:cs="宋体"/>
          <w:sz w:val="24"/>
        </w:rPr>
      </w:pPr>
      <w:r>
        <w:rPr>
          <w:rFonts w:hint="eastAsia" w:ascii="宋体" w:hAnsi="宋体" w:cs="宋体"/>
          <w:sz w:val="24"/>
        </w:rPr>
        <w:t>2、项目服务需求</w:t>
      </w:r>
      <w:bookmarkEnd w:id="3"/>
      <w:r>
        <w:rPr>
          <w:rFonts w:hint="eastAsia" w:ascii="宋体" w:hAnsi="宋体" w:cs="宋体"/>
          <w:sz w:val="24"/>
        </w:rPr>
        <w:t xml:space="preserve"> </w:t>
      </w:r>
    </w:p>
    <w:p w14:paraId="561034EB">
      <w:pPr>
        <w:spacing w:line="360" w:lineRule="auto"/>
        <w:ind w:firstLine="480" w:firstLineChars="200"/>
        <w:jc w:val="left"/>
        <w:rPr>
          <w:rFonts w:hint="eastAsia" w:ascii="宋体" w:hAnsi="宋体" w:cs="宋体"/>
          <w:sz w:val="24"/>
        </w:rPr>
      </w:pPr>
      <w:r>
        <w:rPr>
          <w:rFonts w:hint="eastAsia" w:ascii="宋体" w:hAnsi="宋体" w:cs="宋体"/>
          <w:sz w:val="24"/>
        </w:rPr>
        <w:t>2.1.项目概况</w:t>
      </w:r>
    </w:p>
    <w:p w14:paraId="5F7C39CA">
      <w:pPr>
        <w:spacing w:line="360" w:lineRule="auto"/>
        <w:ind w:firstLine="480" w:firstLineChars="200"/>
        <w:jc w:val="left"/>
        <w:rPr>
          <w:rFonts w:hint="eastAsia" w:ascii="宋体" w:hAnsi="宋体" w:cs="宋体"/>
          <w:sz w:val="24"/>
        </w:rPr>
      </w:pPr>
      <w:r>
        <w:rPr>
          <w:rFonts w:hint="eastAsia" w:ascii="宋体" w:hAnsi="宋体" w:cs="宋体"/>
          <w:sz w:val="24"/>
        </w:rPr>
        <w:t>为全面贯彻总体国家安全观和网络强国战略，深入贯彻落实习近平总书记关于核心技术自主可控重要批示精神和工作安排，在重要信息系统密码应用情况普查工作基础上，对开展商用密码应用安全性评估。</w:t>
      </w:r>
    </w:p>
    <w:p w14:paraId="1D1D9078">
      <w:pPr>
        <w:spacing w:line="360" w:lineRule="auto"/>
        <w:ind w:firstLine="480" w:firstLineChars="200"/>
        <w:jc w:val="left"/>
        <w:rPr>
          <w:rFonts w:hint="eastAsia" w:ascii="宋体" w:hAnsi="宋体" w:cs="宋体"/>
          <w:sz w:val="24"/>
        </w:rPr>
      </w:pPr>
      <w:r>
        <w:rPr>
          <w:rFonts w:hint="eastAsia" w:ascii="宋体" w:hAnsi="宋体" w:cs="宋体"/>
          <w:sz w:val="24"/>
        </w:rPr>
        <w:t>通过对上述系统密码应用安全性评估深入查找密码应用的薄弱环节和安全隐患，分析面临的风险，为提升平台安全奠定基础。</w:t>
      </w:r>
    </w:p>
    <w:p w14:paraId="44159372">
      <w:pPr>
        <w:spacing w:line="360" w:lineRule="auto"/>
        <w:ind w:firstLine="480" w:firstLineChars="200"/>
        <w:jc w:val="left"/>
        <w:rPr>
          <w:rFonts w:hint="eastAsia" w:ascii="宋体" w:hAnsi="宋体" w:cs="宋体"/>
          <w:sz w:val="24"/>
          <w:u w:val="none"/>
        </w:rPr>
      </w:pPr>
      <w:r>
        <w:rPr>
          <w:rFonts w:hint="eastAsia" w:ascii="宋体" w:hAnsi="宋体" w:cs="宋体"/>
          <w:sz w:val="24"/>
          <w:u w:val="none"/>
        </w:rPr>
        <w:t>2.2.项目服务内容</w:t>
      </w:r>
    </w:p>
    <w:p w14:paraId="15F3FE7C">
      <w:pPr>
        <w:spacing w:line="360" w:lineRule="auto"/>
        <w:ind w:firstLine="480" w:firstLineChars="200"/>
        <w:jc w:val="left"/>
        <w:rPr>
          <w:rFonts w:hint="eastAsia" w:ascii="宋体" w:hAnsi="宋体" w:cs="宋体"/>
          <w:sz w:val="24"/>
        </w:rPr>
      </w:pPr>
      <w:r>
        <w:rPr>
          <w:rFonts w:hint="eastAsia" w:ascii="宋体" w:hAnsi="宋体" w:cs="宋体"/>
          <w:sz w:val="24"/>
        </w:rPr>
        <w:t>2.2.1评估对象</w:t>
      </w:r>
    </w:p>
    <w:p w14:paraId="7E91209F">
      <w:pPr>
        <w:spacing w:line="360" w:lineRule="auto"/>
        <w:ind w:firstLine="600" w:firstLineChars="250"/>
        <w:jc w:val="left"/>
        <w:rPr>
          <w:rFonts w:hint="eastAsia" w:ascii="宋体" w:hAnsi="宋体" w:cs="宋体"/>
          <w:sz w:val="24"/>
        </w:rPr>
      </w:pPr>
      <w:r>
        <w:rPr>
          <w:rFonts w:hint="eastAsia" w:ascii="宋体" w:hAnsi="宋体" w:cs="宋体"/>
          <w:sz w:val="24"/>
        </w:rPr>
        <w:t>财政综合办公系统（OA）。</w:t>
      </w:r>
    </w:p>
    <w:p w14:paraId="4E2D4742">
      <w:pPr>
        <w:spacing w:line="360" w:lineRule="auto"/>
        <w:ind w:firstLine="480" w:firstLineChars="200"/>
        <w:jc w:val="left"/>
        <w:rPr>
          <w:rFonts w:hint="eastAsia" w:ascii="宋体" w:hAnsi="宋体" w:cs="宋体"/>
          <w:sz w:val="24"/>
        </w:rPr>
      </w:pPr>
      <w:r>
        <w:rPr>
          <w:rFonts w:hint="eastAsia" w:ascii="宋体" w:hAnsi="宋体" w:cs="宋体"/>
          <w:sz w:val="24"/>
        </w:rPr>
        <w:t>2.2.2 开展密码应用安全性评估</w:t>
      </w:r>
    </w:p>
    <w:p w14:paraId="08E7EFE5">
      <w:pPr>
        <w:pStyle w:val="7"/>
        <w:spacing w:line="360" w:lineRule="auto"/>
        <w:ind w:firstLine="480" w:firstLineChars="200"/>
        <w:rPr>
          <w:rFonts w:hint="eastAsia"/>
          <w:sz w:val="24"/>
        </w:rPr>
      </w:pPr>
      <w:r>
        <w:rPr>
          <w:rFonts w:hint="eastAsia" w:ascii="宋体" w:hAnsi="宋体" w:eastAsia="宋体" w:cs="宋体"/>
          <w:sz w:val="24"/>
        </w:rPr>
        <w:t>依据GB/T 39786-2021《信息安全技术 信息系统密码应用基本要求》、GB/T 43207—2023《信息安全技术 信息系统密码应用设计指南》、GB/T 43206-2023 《信息安全技术 信息系统密码应用测评要求》、GM/T 0116—2021《信息系统密码应用测评过程指南》</w:t>
      </w:r>
      <w:r>
        <w:rPr>
          <w:rFonts w:hint="eastAsia" w:ascii="宋体" w:hAnsi="宋体" w:eastAsia="宋体" w:cs="宋体"/>
          <w:sz w:val="24"/>
          <w:lang w:eastAsia="zh-CN"/>
        </w:rPr>
        <w:t>、</w:t>
      </w:r>
      <w:r>
        <w:rPr>
          <w:rFonts w:hint="eastAsia" w:ascii="宋体" w:hAnsi="宋体" w:eastAsia="宋体" w:cs="宋体"/>
          <w:sz w:val="24"/>
        </w:rPr>
        <w:t>《信息系统密码应用高风险判定指引》、《商用密码应用安全性评估量化评估规则》和系统自身的安全需求分析，对被评估系统进行商用密码应用安全性评估，为信息系统的密码安全提供科学评价，逐步规范网络运营者的密码使用和管理行为。</w:t>
      </w:r>
      <w:r>
        <w:rPr>
          <w:rFonts w:hint="eastAsia" w:ascii="宋体" w:hAnsi="宋体" w:cs="宋体"/>
          <w:sz w:val="24"/>
        </w:rPr>
        <w:t>被评估对象的商用密码应用安全性评估服务内容如下:</w:t>
      </w:r>
    </w:p>
    <w:p w14:paraId="0D131F24">
      <w:pPr>
        <w:spacing w:line="360" w:lineRule="auto"/>
        <w:ind w:firstLine="480" w:firstLineChars="200"/>
        <w:rPr>
          <w:rFonts w:hint="eastAsia" w:ascii="宋体" w:hAnsi="宋体" w:cs="宋体"/>
          <w:sz w:val="24"/>
        </w:rPr>
      </w:pPr>
      <w:r>
        <w:rPr>
          <w:rFonts w:hint="eastAsia" w:ascii="宋体" w:hAnsi="宋体" w:cs="宋体"/>
          <w:sz w:val="24"/>
        </w:rPr>
        <w:t>实施方式：系统评估，及时发现系统脆弱性，识别变化的风险，了解系统安全状况。对照密码应用方案对系统开展评估。根据被评估对象的实际情况、所属行业及系统使用的密码产品情况，选择并确定测评依据。在系统真实环境下进行测评，以评估密码保障是否安全有效，密码使用是否合规、正确、有效。并通过测评发现系统存在的安全隐患和风险，提出可行性完善建议。</w:t>
      </w:r>
    </w:p>
    <w:p w14:paraId="23FDD1E2">
      <w:pPr>
        <w:spacing w:line="360" w:lineRule="auto"/>
        <w:ind w:firstLine="480" w:firstLineChars="200"/>
        <w:rPr>
          <w:rFonts w:hint="eastAsia" w:ascii="宋体" w:hAnsi="宋体" w:cs="宋体"/>
          <w:sz w:val="24"/>
        </w:rPr>
      </w:pPr>
      <w:r>
        <w:rPr>
          <w:rFonts w:hint="eastAsia" w:ascii="宋体" w:hAnsi="宋体" w:cs="宋体"/>
          <w:sz w:val="24"/>
        </w:rPr>
        <w:t>密码技术应用测评：物理和环境安全密码测评、网络和通信安全密码测评、设备和计算安全密码测评、应用和数据安全密码测评。测评验证不同安全等级信息系统的商用密码应用是否达到具有相应安全等级的安全保护能力，是否满足相应安全等级的保护要求。</w:t>
      </w:r>
    </w:p>
    <w:p w14:paraId="7370D859">
      <w:pPr>
        <w:spacing w:line="360" w:lineRule="auto"/>
        <w:ind w:firstLine="480" w:firstLineChars="200"/>
        <w:rPr>
          <w:rFonts w:hint="eastAsia" w:ascii="宋体" w:hAnsi="宋体" w:cs="宋体"/>
          <w:sz w:val="24"/>
        </w:rPr>
      </w:pPr>
      <w:r>
        <w:rPr>
          <w:rFonts w:hint="eastAsia" w:ascii="宋体" w:hAnsi="宋体" w:cs="宋体"/>
          <w:sz w:val="24"/>
        </w:rPr>
        <w:t>安全管理测评：对管理制度、人员管理、建设运行和应急等四个方面安全管理的测评，并协助完善商用密码应用安全性管理制度，协助完善密码相关系统运维管理制度。</w:t>
      </w:r>
    </w:p>
    <w:p w14:paraId="7B39BF9D">
      <w:pPr>
        <w:spacing w:line="360" w:lineRule="auto"/>
        <w:ind w:firstLine="480" w:firstLineChars="200"/>
        <w:rPr>
          <w:rFonts w:hint="eastAsia" w:ascii="宋体" w:hAnsi="宋体" w:cs="宋体"/>
          <w:sz w:val="24"/>
        </w:rPr>
      </w:pPr>
      <w:r>
        <w:rPr>
          <w:rFonts w:hint="eastAsia" w:ascii="宋体" w:hAnsi="宋体" w:eastAsia="宋体" w:cs="宋体"/>
          <w:sz w:val="24"/>
          <w:lang w:val="en-US" w:eastAsia="zh-CN"/>
        </w:rPr>
        <w:t>2</w:t>
      </w:r>
      <w:r>
        <w:rPr>
          <w:rFonts w:hint="eastAsia" w:ascii="宋体" w:hAnsi="宋体" w:eastAsia="宋体" w:cs="宋体"/>
          <w:sz w:val="24"/>
        </w:rPr>
        <w:t>.2.3</w:t>
      </w:r>
      <w:r>
        <w:rPr>
          <w:rFonts w:hint="eastAsia" w:ascii="宋体" w:hAnsi="宋体" w:cs="宋体"/>
          <w:sz w:val="24"/>
        </w:rPr>
        <w:t>形成密码应用安全性评估相关报告</w:t>
      </w:r>
    </w:p>
    <w:p w14:paraId="6CF69FA6">
      <w:pPr>
        <w:spacing w:line="360" w:lineRule="auto"/>
        <w:ind w:firstLine="480" w:firstLineChars="200"/>
        <w:rPr>
          <w:rFonts w:hint="eastAsia" w:ascii="宋体" w:hAnsi="宋体" w:cs="宋体"/>
          <w:sz w:val="24"/>
        </w:rPr>
      </w:pPr>
      <w:r>
        <w:rPr>
          <w:rFonts w:hint="eastAsia" w:ascii="宋体" w:hAnsi="宋体" w:cs="宋体"/>
          <w:sz w:val="24"/>
        </w:rPr>
        <w:t>密码应用安全评估报告</w:t>
      </w:r>
    </w:p>
    <w:p w14:paraId="56595973">
      <w:pPr>
        <w:spacing w:line="360" w:lineRule="auto"/>
        <w:ind w:firstLine="480" w:firstLineChars="200"/>
        <w:rPr>
          <w:rFonts w:hint="eastAsia" w:ascii="宋体" w:hAnsi="宋体" w:cs="宋体"/>
          <w:sz w:val="24"/>
        </w:rPr>
      </w:pPr>
      <w:r>
        <w:rPr>
          <w:rFonts w:hint="eastAsia" w:ascii="宋体" w:hAnsi="宋体" w:cs="宋体"/>
          <w:sz w:val="24"/>
        </w:rPr>
        <w:t>针对被评估系统编制密码应用安全性评估报告，报告按照国家密码管理局要求包含的内容编制或参考模板编制。协助被评估单位认清风险，查找漏洞，找出差距，提出有针对性的加强完善密码安全管理和防护建议。</w:t>
      </w:r>
    </w:p>
    <w:p w14:paraId="7CF87C5E">
      <w:pPr>
        <w:spacing w:line="360" w:lineRule="auto"/>
        <w:ind w:firstLine="480" w:firstLineChars="200"/>
        <w:rPr>
          <w:rFonts w:hint="eastAsia" w:ascii="宋体" w:hAnsi="宋体" w:cs="宋体"/>
          <w:sz w:val="24"/>
        </w:rPr>
      </w:pPr>
      <w:r>
        <w:rPr>
          <w:rFonts w:hint="eastAsia" w:ascii="宋体" w:hAnsi="宋体" w:cs="宋体"/>
          <w:sz w:val="24"/>
        </w:rPr>
        <w:t>2.2.4.项目服务要求</w:t>
      </w:r>
    </w:p>
    <w:p w14:paraId="7E62E998">
      <w:pPr>
        <w:spacing w:line="360" w:lineRule="auto"/>
        <w:ind w:firstLine="480" w:firstLineChars="200"/>
        <w:rPr>
          <w:rFonts w:hint="eastAsia" w:ascii="宋体" w:hAnsi="宋体" w:cs="宋体"/>
          <w:sz w:val="24"/>
        </w:rPr>
      </w:pPr>
      <w:r>
        <w:rPr>
          <w:rFonts w:hint="eastAsia" w:ascii="宋体" w:hAnsi="宋体" w:cs="宋体"/>
          <w:sz w:val="24"/>
        </w:rPr>
        <w:t>投标供应商必须完全响应本项，否则将视为未实质性响应</w:t>
      </w:r>
      <w:r>
        <w:rPr>
          <w:rFonts w:hint="eastAsia" w:ascii="宋体" w:hAnsi="宋体" w:cs="宋体"/>
          <w:sz w:val="24"/>
          <w:lang w:eastAsia="zh-CN"/>
        </w:rPr>
        <w:t>磋商</w:t>
      </w:r>
      <w:r>
        <w:rPr>
          <w:rFonts w:hint="eastAsia" w:ascii="宋体" w:hAnsi="宋体" w:cs="宋体"/>
          <w:sz w:val="24"/>
        </w:rPr>
        <w:t>文件，按照无效投标处理。</w:t>
      </w:r>
    </w:p>
    <w:p w14:paraId="68599FF8">
      <w:pPr>
        <w:numPr>
          <w:ilvl w:val="0"/>
          <w:numId w:val="4"/>
        </w:numPr>
        <w:spacing w:line="360" w:lineRule="auto"/>
        <w:rPr>
          <w:rFonts w:ascii="宋体" w:hAnsi="宋体" w:cs="宋体"/>
          <w:sz w:val="24"/>
        </w:rPr>
      </w:pPr>
      <w:r>
        <w:rPr>
          <w:rFonts w:hint="eastAsia" w:ascii="宋体" w:hAnsi="宋体" w:cs="宋体"/>
          <w:sz w:val="24"/>
        </w:rPr>
        <w:t>中标单位必须确保能建立一支具有一定服务能力的管理团队，组建1个测评小组实施小组，小组不少于3人。项目实施期间，小组现场测评人员至少1人，并合理调配各岗位人员，保障服务工作相关岗位人员需要。</w:t>
      </w:r>
    </w:p>
    <w:p w14:paraId="4F33DA34">
      <w:pPr>
        <w:numPr>
          <w:ilvl w:val="0"/>
          <w:numId w:val="4"/>
        </w:numPr>
        <w:spacing w:line="360" w:lineRule="auto"/>
        <w:rPr>
          <w:rFonts w:hint="eastAsia" w:ascii="宋体" w:hAnsi="宋体" w:cs="宋体"/>
          <w:sz w:val="24"/>
        </w:rPr>
      </w:pPr>
      <w:r>
        <w:rPr>
          <w:rFonts w:hint="eastAsia" w:ascii="宋体" w:hAnsi="宋体" w:cs="宋体"/>
          <w:sz w:val="24"/>
        </w:rPr>
        <w:t>严守工作秘密。中标服务商必须与采购人签署保密协议，参与项目人员签署《保密承诺书》，对知悉的事项及信息予以保密，所有资料、技术文档妥善保管，不得遗失、转借、复印，不得以任何形式向第三方透露；所有密码应用解决方案和采集汇总后的数据严禁通过互联网等公共信息网络、快递等进行传递，严禁在连接互联网计算机上存储、处理。</w:t>
      </w:r>
    </w:p>
    <w:p w14:paraId="61F10150">
      <w:pPr>
        <w:numPr>
          <w:ilvl w:val="0"/>
          <w:numId w:val="4"/>
        </w:numPr>
        <w:spacing w:line="360" w:lineRule="auto"/>
        <w:rPr>
          <w:rFonts w:ascii="宋体" w:hAnsi="宋体" w:cs="宋体"/>
          <w:sz w:val="24"/>
        </w:rPr>
      </w:pPr>
      <w:r>
        <w:rPr>
          <w:rFonts w:hint="eastAsia" w:ascii="宋体" w:hAnsi="宋体" w:cs="宋体"/>
          <w:sz w:val="24"/>
        </w:rPr>
        <w:t>严格遵循操作规程，承担服务工作质量责任。</w:t>
      </w:r>
      <w:bookmarkStart w:id="4" w:name="_Toc3475413"/>
      <w:bookmarkStart w:id="5" w:name="_Toc267320049"/>
    </w:p>
    <w:p w14:paraId="2A924EC3">
      <w:pPr>
        <w:numPr>
          <w:ilvl w:val="0"/>
          <w:numId w:val="4"/>
        </w:numPr>
        <w:spacing w:line="360" w:lineRule="auto"/>
        <w:rPr>
          <w:rFonts w:hint="eastAsia" w:ascii="宋体" w:hAnsi="宋体" w:cs="宋体"/>
          <w:sz w:val="24"/>
        </w:rPr>
      </w:pPr>
      <w:r>
        <w:rPr>
          <w:rFonts w:hint="eastAsia" w:ascii="宋体" w:hAnsi="宋体" w:cs="宋体"/>
          <w:sz w:val="24"/>
        </w:rPr>
        <w:t>实施时间、实施地点及验收方式</w:t>
      </w:r>
      <w:bookmarkEnd w:id="4"/>
      <w:bookmarkEnd w:id="5"/>
    </w:p>
    <w:p w14:paraId="2F4252AE">
      <w:pPr>
        <w:pStyle w:val="4"/>
        <w:ind w:left="0" w:leftChars="0" w:firstLine="240" w:firstLineChars="100"/>
        <w:rPr>
          <w:rFonts w:hint="eastAsia" w:ascii="宋体" w:hAnsi="宋体" w:eastAsia="宋体" w:cs="宋体"/>
          <w:sz w:val="24"/>
          <w:lang w:eastAsia="zh-CN"/>
        </w:rPr>
      </w:pPr>
      <w:r>
        <w:rPr>
          <w:rFonts w:hint="eastAsia" w:ascii="宋体" w:hAnsi="宋体" w:cs="宋体"/>
          <w:sz w:val="24"/>
          <w:lang w:val="en-US" w:eastAsia="zh-CN"/>
        </w:rPr>
        <w:t>（一）、</w:t>
      </w:r>
      <w:r>
        <w:rPr>
          <w:rFonts w:hint="eastAsia" w:ascii="宋体" w:hAnsi="宋体" w:cs="宋体"/>
          <w:sz w:val="24"/>
        </w:rPr>
        <w:t>实施周期：具备测评条件后，</w:t>
      </w:r>
      <w:r>
        <w:rPr>
          <w:rFonts w:hint="eastAsia" w:hAnsi="宋体" w:cs="宋体"/>
          <w:szCs w:val="24"/>
        </w:rPr>
        <w:t>45个工作日（整改时间除外）</w:t>
      </w:r>
      <w:r>
        <w:rPr>
          <w:rFonts w:hint="eastAsia" w:hAnsi="宋体" w:cs="宋体"/>
          <w:szCs w:val="24"/>
          <w:lang w:eastAsia="zh-CN"/>
        </w:rPr>
        <w:t>。</w:t>
      </w:r>
    </w:p>
    <w:p w14:paraId="4B6E6D45">
      <w:pPr>
        <w:spacing w:line="360" w:lineRule="auto"/>
        <w:ind w:firstLine="240" w:firstLineChars="1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实施地点：</w:t>
      </w:r>
      <w:r>
        <w:rPr>
          <w:rFonts w:hint="eastAsia" w:ascii="宋体" w:hAnsi="宋体" w:cs="宋体"/>
          <w:sz w:val="24"/>
          <w:lang w:val="en-US" w:eastAsia="zh-CN"/>
        </w:rPr>
        <w:t>河南省驻马店市</w:t>
      </w:r>
      <w:r>
        <w:rPr>
          <w:rFonts w:hint="eastAsia" w:ascii="宋体" w:hAnsi="宋体" w:cs="宋体"/>
          <w:sz w:val="24"/>
        </w:rPr>
        <w:t>。</w:t>
      </w:r>
    </w:p>
    <w:p w14:paraId="40805149">
      <w:pPr>
        <w:spacing w:line="360" w:lineRule="auto"/>
        <w:ind w:firstLine="240" w:firstLineChars="100"/>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 xml:space="preserve">验收方式：测评机构出具盖章版的密评报告，提供当地密码管理部门备案要求的相关资料，协助备案。 </w:t>
      </w:r>
      <w:bookmarkEnd w:id="0"/>
      <w:bookmarkEnd w:id="1"/>
    </w:p>
    <w:p w14:paraId="1580F1FB">
      <w:pPr>
        <w:pStyle w:val="4"/>
        <w:rPr>
          <w:rFonts w:hAnsi="宋体" w:cs="宋体"/>
          <w:szCs w:val="24"/>
        </w:rPr>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061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EE3667">
                          <w:pPr>
                            <w:pStyle w:val="13"/>
                          </w:pPr>
                          <w:r>
                            <w:rPr>
                              <w:rFonts w:hint="eastAsia"/>
                              <w:sz w:val="20"/>
                              <w:szCs w:val="21"/>
                            </w:rPr>
                            <w:fldChar w:fldCharType="begin"/>
                          </w:r>
                          <w:r>
                            <w:rPr>
                              <w:rFonts w:hint="eastAsia"/>
                              <w:sz w:val="20"/>
                              <w:szCs w:val="21"/>
                            </w:rPr>
                            <w:instrText xml:space="preserve"> PAGE  \* MERGEFORMAT </w:instrText>
                          </w:r>
                          <w:r>
                            <w:rPr>
                              <w:rFonts w:hint="eastAsia"/>
                              <w:sz w:val="20"/>
                              <w:szCs w:val="21"/>
                            </w:rPr>
                            <w:fldChar w:fldCharType="separate"/>
                          </w:r>
                          <w:r>
                            <w:rPr>
                              <w:sz w:val="20"/>
                              <w:szCs w:val="21"/>
                            </w:rPr>
                            <w:t>2</w:t>
                          </w:r>
                          <w:r>
                            <w:rPr>
                              <w:rFonts w:hint="eastAsia"/>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CEE3667">
                    <w:pPr>
                      <w:pStyle w:val="13"/>
                    </w:pPr>
                    <w:r>
                      <w:rPr>
                        <w:rFonts w:hint="eastAsia"/>
                        <w:sz w:val="20"/>
                        <w:szCs w:val="21"/>
                      </w:rPr>
                      <w:fldChar w:fldCharType="begin"/>
                    </w:r>
                    <w:r>
                      <w:rPr>
                        <w:rFonts w:hint="eastAsia"/>
                        <w:sz w:val="20"/>
                        <w:szCs w:val="21"/>
                      </w:rPr>
                      <w:instrText xml:space="preserve"> PAGE  \* MERGEFORMAT </w:instrText>
                    </w:r>
                    <w:r>
                      <w:rPr>
                        <w:rFonts w:hint="eastAsia"/>
                        <w:sz w:val="20"/>
                        <w:szCs w:val="21"/>
                      </w:rPr>
                      <w:fldChar w:fldCharType="separate"/>
                    </w:r>
                    <w:r>
                      <w:rPr>
                        <w:sz w:val="20"/>
                        <w:szCs w:val="21"/>
                      </w:rPr>
                      <w:t>2</w:t>
                    </w:r>
                    <w:r>
                      <w:rPr>
                        <w:rFonts w:hint="eastAsia"/>
                        <w:sz w:val="20"/>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63D8">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23CD9B">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623CD9B">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C2162"/>
    <w:multiLevelType w:val="singleLevel"/>
    <w:tmpl w:val="BBBC2162"/>
    <w:lvl w:ilvl="0" w:tentative="0">
      <w:start w:val="1"/>
      <w:numFmt w:val="decimal"/>
      <w:suff w:val="nothing"/>
      <w:lvlText w:val="%1、"/>
      <w:lvlJc w:val="left"/>
    </w:lvl>
  </w:abstractNum>
  <w:abstractNum w:abstractNumId="1">
    <w:nsid w:val="099E542E"/>
    <w:multiLevelType w:val="singleLevel"/>
    <w:tmpl w:val="099E542E"/>
    <w:lvl w:ilvl="0" w:tentative="0">
      <w:start w:val="2"/>
      <w:numFmt w:val="decimal"/>
      <w:suff w:val="nothing"/>
      <w:lvlText w:val="%1、"/>
      <w:lvlJc w:val="left"/>
    </w:lvl>
  </w:abstractNum>
  <w:abstractNum w:abstractNumId="2">
    <w:nsid w:val="5CA20D03"/>
    <w:multiLevelType w:val="multilevel"/>
    <w:tmpl w:val="5CA20D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720F9D"/>
    <w:multiLevelType w:val="multilevel"/>
    <w:tmpl w:val="61720F9D"/>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zg1YzFhM2VjNGZjNGExNzk3MDhmMzc2OGQwZjkifQ=="/>
  </w:docVars>
  <w:rsids>
    <w:rsidRoot w:val="00715C41"/>
    <w:rsid w:val="00021CB6"/>
    <w:rsid w:val="00023103"/>
    <w:rsid w:val="00023FA8"/>
    <w:rsid w:val="00024C44"/>
    <w:rsid w:val="00033141"/>
    <w:rsid w:val="00051A38"/>
    <w:rsid w:val="00061ABD"/>
    <w:rsid w:val="00095C2C"/>
    <w:rsid w:val="000A3384"/>
    <w:rsid w:val="000A6D4C"/>
    <w:rsid w:val="000B5D08"/>
    <w:rsid w:val="000D21C4"/>
    <w:rsid w:val="0011031F"/>
    <w:rsid w:val="00117673"/>
    <w:rsid w:val="001220F3"/>
    <w:rsid w:val="00134B42"/>
    <w:rsid w:val="00153343"/>
    <w:rsid w:val="00190D8F"/>
    <w:rsid w:val="001B5AC6"/>
    <w:rsid w:val="001C0F4F"/>
    <w:rsid w:val="00200E45"/>
    <w:rsid w:val="00211F22"/>
    <w:rsid w:val="0028107E"/>
    <w:rsid w:val="002829AF"/>
    <w:rsid w:val="002A0C19"/>
    <w:rsid w:val="002B18FF"/>
    <w:rsid w:val="002B25B2"/>
    <w:rsid w:val="00304688"/>
    <w:rsid w:val="003250FD"/>
    <w:rsid w:val="0035602E"/>
    <w:rsid w:val="00381016"/>
    <w:rsid w:val="00386769"/>
    <w:rsid w:val="00386FD9"/>
    <w:rsid w:val="00395769"/>
    <w:rsid w:val="003B6C93"/>
    <w:rsid w:val="004335D9"/>
    <w:rsid w:val="004557AA"/>
    <w:rsid w:val="004A39E4"/>
    <w:rsid w:val="004D7844"/>
    <w:rsid w:val="004E39B8"/>
    <w:rsid w:val="0053092B"/>
    <w:rsid w:val="00551FA0"/>
    <w:rsid w:val="005C5E85"/>
    <w:rsid w:val="005E054B"/>
    <w:rsid w:val="005E4CE4"/>
    <w:rsid w:val="006242F4"/>
    <w:rsid w:val="00643645"/>
    <w:rsid w:val="0066649B"/>
    <w:rsid w:val="00683495"/>
    <w:rsid w:val="00697398"/>
    <w:rsid w:val="006A37DF"/>
    <w:rsid w:val="006D712E"/>
    <w:rsid w:val="00715C41"/>
    <w:rsid w:val="00730080"/>
    <w:rsid w:val="00741A13"/>
    <w:rsid w:val="0077209A"/>
    <w:rsid w:val="00775E33"/>
    <w:rsid w:val="007D2223"/>
    <w:rsid w:val="007D5C4F"/>
    <w:rsid w:val="0082615E"/>
    <w:rsid w:val="00842044"/>
    <w:rsid w:val="00861D83"/>
    <w:rsid w:val="008A6D04"/>
    <w:rsid w:val="008B3DDA"/>
    <w:rsid w:val="008E7B91"/>
    <w:rsid w:val="009153AB"/>
    <w:rsid w:val="00940C7F"/>
    <w:rsid w:val="00982F2F"/>
    <w:rsid w:val="009A1D4F"/>
    <w:rsid w:val="009F129C"/>
    <w:rsid w:val="00A009C2"/>
    <w:rsid w:val="00A076AB"/>
    <w:rsid w:val="00A77988"/>
    <w:rsid w:val="00A807AE"/>
    <w:rsid w:val="00AA1093"/>
    <w:rsid w:val="00AC0A04"/>
    <w:rsid w:val="00B00A49"/>
    <w:rsid w:val="00B25D13"/>
    <w:rsid w:val="00B40623"/>
    <w:rsid w:val="00B52B6E"/>
    <w:rsid w:val="00B73F75"/>
    <w:rsid w:val="00B905D0"/>
    <w:rsid w:val="00BA35F1"/>
    <w:rsid w:val="00BF7DC9"/>
    <w:rsid w:val="00C23C98"/>
    <w:rsid w:val="00C47AF9"/>
    <w:rsid w:val="00C73E01"/>
    <w:rsid w:val="00CA14EE"/>
    <w:rsid w:val="00CA5026"/>
    <w:rsid w:val="00CC200E"/>
    <w:rsid w:val="00CF79F1"/>
    <w:rsid w:val="00D16459"/>
    <w:rsid w:val="00D37DB9"/>
    <w:rsid w:val="00D5375E"/>
    <w:rsid w:val="00D6375A"/>
    <w:rsid w:val="00D8374E"/>
    <w:rsid w:val="00DC37D2"/>
    <w:rsid w:val="00DD78D2"/>
    <w:rsid w:val="00DE4F76"/>
    <w:rsid w:val="00E22B7E"/>
    <w:rsid w:val="00E26725"/>
    <w:rsid w:val="00E639D2"/>
    <w:rsid w:val="00E74489"/>
    <w:rsid w:val="00E84432"/>
    <w:rsid w:val="00ED23E2"/>
    <w:rsid w:val="00F3680F"/>
    <w:rsid w:val="00F37759"/>
    <w:rsid w:val="00F50B00"/>
    <w:rsid w:val="00F55E3E"/>
    <w:rsid w:val="00F84918"/>
    <w:rsid w:val="00F955E3"/>
    <w:rsid w:val="00F95AE9"/>
    <w:rsid w:val="00FB2775"/>
    <w:rsid w:val="00FB3DF5"/>
    <w:rsid w:val="00FF5BF8"/>
    <w:rsid w:val="01514167"/>
    <w:rsid w:val="04826D2E"/>
    <w:rsid w:val="04E0470D"/>
    <w:rsid w:val="06677F89"/>
    <w:rsid w:val="093E0F58"/>
    <w:rsid w:val="0AB90680"/>
    <w:rsid w:val="0E6574A4"/>
    <w:rsid w:val="0F276507"/>
    <w:rsid w:val="118C2F9A"/>
    <w:rsid w:val="11A04F42"/>
    <w:rsid w:val="13AC16D1"/>
    <w:rsid w:val="15B91E83"/>
    <w:rsid w:val="1702639D"/>
    <w:rsid w:val="175C51BC"/>
    <w:rsid w:val="1BBE6445"/>
    <w:rsid w:val="1DE657E0"/>
    <w:rsid w:val="1EEE7042"/>
    <w:rsid w:val="1FB5190D"/>
    <w:rsid w:val="1FCF069D"/>
    <w:rsid w:val="1FCF0C21"/>
    <w:rsid w:val="2217457B"/>
    <w:rsid w:val="22835CF3"/>
    <w:rsid w:val="230A1F70"/>
    <w:rsid w:val="23832A6B"/>
    <w:rsid w:val="24967F5F"/>
    <w:rsid w:val="262B46D7"/>
    <w:rsid w:val="267045AB"/>
    <w:rsid w:val="27EC60E8"/>
    <w:rsid w:val="28975274"/>
    <w:rsid w:val="293D72FC"/>
    <w:rsid w:val="29BF1D06"/>
    <w:rsid w:val="2A842608"/>
    <w:rsid w:val="2B502065"/>
    <w:rsid w:val="2D241E80"/>
    <w:rsid w:val="2E304F81"/>
    <w:rsid w:val="30287697"/>
    <w:rsid w:val="31464ABB"/>
    <w:rsid w:val="316D2A3A"/>
    <w:rsid w:val="32C91500"/>
    <w:rsid w:val="33CD3272"/>
    <w:rsid w:val="35425873"/>
    <w:rsid w:val="35700359"/>
    <w:rsid w:val="363F6804"/>
    <w:rsid w:val="39B92668"/>
    <w:rsid w:val="3A1E65D5"/>
    <w:rsid w:val="3A217E73"/>
    <w:rsid w:val="3AA34D2C"/>
    <w:rsid w:val="3D112421"/>
    <w:rsid w:val="3D94095C"/>
    <w:rsid w:val="3E744340"/>
    <w:rsid w:val="3E7F9F8A"/>
    <w:rsid w:val="3F315AEE"/>
    <w:rsid w:val="40416B7A"/>
    <w:rsid w:val="407A02DD"/>
    <w:rsid w:val="40AF61D9"/>
    <w:rsid w:val="43122A4F"/>
    <w:rsid w:val="43CA0226"/>
    <w:rsid w:val="4441183E"/>
    <w:rsid w:val="486017CE"/>
    <w:rsid w:val="48745BFB"/>
    <w:rsid w:val="4A940CDB"/>
    <w:rsid w:val="4AF40C8C"/>
    <w:rsid w:val="4D616AAD"/>
    <w:rsid w:val="4D7E765F"/>
    <w:rsid w:val="4DEF7B81"/>
    <w:rsid w:val="4EEE4370"/>
    <w:rsid w:val="50497980"/>
    <w:rsid w:val="54AD199D"/>
    <w:rsid w:val="57CA16F3"/>
    <w:rsid w:val="5E4F64AE"/>
    <w:rsid w:val="62B17737"/>
    <w:rsid w:val="68F00F3B"/>
    <w:rsid w:val="6AC326FD"/>
    <w:rsid w:val="6B596BBE"/>
    <w:rsid w:val="6D17288C"/>
    <w:rsid w:val="6D3B7744"/>
    <w:rsid w:val="6F1D7E4D"/>
    <w:rsid w:val="706A53C9"/>
    <w:rsid w:val="71F66728"/>
    <w:rsid w:val="72AF066A"/>
    <w:rsid w:val="73AB7D8F"/>
    <w:rsid w:val="73CA0659"/>
    <w:rsid w:val="75842A89"/>
    <w:rsid w:val="766D5AF4"/>
    <w:rsid w:val="79E32474"/>
    <w:rsid w:val="7B4C229B"/>
    <w:rsid w:val="7D9F4904"/>
    <w:rsid w:val="7E81304E"/>
    <w:rsid w:val="7EE10F4C"/>
    <w:rsid w:val="7FF76099"/>
    <w:rsid w:val="BBFF8EAB"/>
    <w:rsid w:val="FBD76271"/>
    <w:rsid w:val="FF5F3360"/>
    <w:rsid w:val="FFB75F48"/>
    <w:rsid w:val="FFDFF415"/>
    <w:rsid w:val="FFEB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240" w:after="240" w:line="300" w:lineRule="auto"/>
      <w:jc w:val="center"/>
      <w:outlineLvl w:val="0"/>
    </w:pPr>
    <w:rPr>
      <w:rFonts w:ascii="Calibri" w:hAnsi="Calibri"/>
      <w:kern w:val="44"/>
      <w:sz w:val="28"/>
    </w:rPr>
  </w:style>
  <w:style w:type="paragraph" w:styleId="3">
    <w:name w:val="heading 2"/>
    <w:basedOn w:val="1"/>
    <w:next w:val="4"/>
    <w:link w:val="30"/>
    <w:qFormat/>
    <w:uiPriority w:val="0"/>
    <w:pPr>
      <w:keepNext/>
      <w:keepLines/>
      <w:spacing w:before="260" w:after="260" w:line="276" w:lineRule="auto"/>
      <w:jc w:val="left"/>
      <w:outlineLvl w:val="1"/>
    </w:pPr>
    <w:rPr>
      <w:rFonts w:ascii="Arial" w:hAnsi="Arial"/>
      <w:sz w:val="24"/>
    </w:rPr>
  </w:style>
  <w:style w:type="paragraph" w:styleId="5">
    <w:name w:val="heading 3"/>
    <w:basedOn w:val="1"/>
    <w:next w:val="1"/>
    <w:link w:val="31"/>
    <w:qFormat/>
    <w:uiPriority w:val="0"/>
    <w:pPr>
      <w:keepNext/>
      <w:keepLines/>
      <w:spacing w:before="200" w:after="200"/>
      <w:outlineLvl w:val="2"/>
    </w:pPr>
    <w:rPr>
      <w:rFonts w:ascii="Calibri" w:hAnsi="Calibri" w:eastAsia="黑体"/>
      <w:sz w:val="30"/>
    </w:rPr>
  </w:style>
  <w:style w:type="paragraph" w:styleId="6">
    <w:name w:val="heading 4"/>
    <w:basedOn w:val="1"/>
    <w:next w:val="1"/>
    <w:link w:val="32"/>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rPr>
  </w:style>
  <w:style w:type="paragraph" w:styleId="7">
    <w:name w:val="annotation text"/>
    <w:basedOn w:val="1"/>
    <w:link w:val="37"/>
    <w:semiHidden/>
    <w:unhideWhenUsed/>
    <w:qFormat/>
    <w:uiPriority w:val="99"/>
    <w:pPr>
      <w:jc w:val="left"/>
    </w:pPr>
  </w:style>
  <w:style w:type="paragraph" w:styleId="8">
    <w:name w:val="Body Text"/>
    <w:basedOn w:val="1"/>
    <w:next w:val="9"/>
    <w:link w:val="28"/>
    <w:semiHidden/>
    <w:unhideWhenUsed/>
    <w:qFormat/>
    <w:uiPriority w:val="99"/>
    <w:pPr>
      <w:spacing w:after="120"/>
    </w:pPr>
  </w:style>
  <w:style w:type="paragraph" w:customStyle="1" w:styleId="9">
    <w:name w:val="_Style 2"/>
    <w:next w:val="1"/>
    <w:qFormat/>
    <w:uiPriority w:val="0"/>
    <w:pPr>
      <w:spacing w:after="200" w:line="276" w:lineRule="auto"/>
    </w:pPr>
    <w:rPr>
      <w:rFonts w:ascii="Times New Roman" w:hAnsi="Times New Roman" w:eastAsia="宋体" w:cs="Times New Roman"/>
      <w:sz w:val="22"/>
      <w:szCs w:val="22"/>
      <w:lang w:val="en-US" w:eastAsia="zh-CN" w:bidi="ar-SA"/>
    </w:rPr>
  </w:style>
  <w:style w:type="paragraph" w:styleId="10">
    <w:name w:val="Body Text Indent"/>
    <w:basedOn w:val="1"/>
    <w:next w:val="11"/>
    <w:link w:val="26"/>
    <w:semiHidden/>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alloon Text"/>
    <w:basedOn w:val="1"/>
    <w:link w:val="39"/>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0"/>
    <w:pPr>
      <w:snapToGrid w:val="0"/>
      <w:jc w:val="left"/>
    </w:pPr>
    <w:rPr>
      <w:sz w:val="18"/>
    </w:rPr>
  </w:style>
  <w:style w:type="paragraph" w:styleId="16">
    <w:name w:val="Body Text 2"/>
    <w:basedOn w:val="1"/>
    <w:qFormat/>
    <w:uiPriority w:val="0"/>
    <w:pPr>
      <w:widowControl/>
      <w:spacing w:before="100" w:beforeAutospacing="1" w:after="100" w:afterAutospacing="1"/>
      <w:jc w:val="left"/>
    </w:pPr>
    <w:rPr>
      <w:rFonts w:ascii="宋体" w:hAnsi="宋体"/>
      <w:kern w:val="0"/>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annotation subject"/>
    <w:basedOn w:val="7"/>
    <w:next w:val="7"/>
    <w:link w:val="38"/>
    <w:semiHidden/>
    <w:unhideWhenUsed/>
    <w:qFormat/>
    <w:uiPriority w:val="99"/>
    <w:rPr>
      <w:b/>
      <w:bCs/>
    </w:rPr>
  </w:style>
  <w:style w:type="paragraph" w:styleId="19">
    <w:name w:val="Body Text First Indent"/>
    <w:basedOn w:val="8"/>
    <w:link w:val="36"/>
    <w:unhideWhenUsed/>
    <w:qFormat/>
    <w:uiPriority w:val="99"/>
    <w:pPr>
      <w:ind w:firstLine="420" w:firstLineChars="100"/>
    </w:pPr>
  </w:style>
  <w:style w:type="paragraph" w:styleId="20">
    <w:name w:val="Body Text First Indent 2"/>
    <w:basedOn w:val="10"/>
    <w:next w:val="19"/>
    <w:link w:val="27"/>
    <w:semiHidden/>
    <w:unhideWhenUsed/>
    <w:qFormat/>
    <w:uiPriority w:val="99"/>
    <w:pPr>
      <w:ind w:firstLine="420" w:firstLineChars="200"/>
    </w:pPr>
  </w:style>
  <w:style w:type="character" w:styleId="23">
    <w:name w:val="annotation reference"/>
    <w:basedOn w:val="22"/>
    <w:semiHidden/>
    <w:unhideWhenUsed/>
    <w:qFormat/>
    <w:uiPriority w:val="99"/>
    <w:rPr>
      <w:sz w:val="21"/>
      <w:szCs w:val="21"/>
    </w:rPr>
  </w:style>
  <w:style w:type="character" w:customStyle="1" w:styleId="24">
    <w:name w:val="页眉 字符"/>
    <w:basedOn w:val="22"/>
    <w:link w:val="14"/>
    <w:qFormat/>
    <w:uiPriority w:val="99"/>
    <w:rPr>
      <w:sz w:val="18"/>
      <w:szCs w:val="18"/>
    </w:rPr>
  </w:style>
  <w:style w:type="character" w:customStyle="1" w:styleId="25">
    <w:name w:val="页脚 字符"/>
    <w:basedOn w:val="22"/>
    <w:link w:val="13"/>
    <w:qFormat/>
    <w:uiPriority w:val="99"/>
    <w:rPr>
      <w:sz w:val="18"/>
      <w:szCs w:val="18"/>
    </w:rPr>
  </w:style>
  <w:style w:type="character" w:customStyle="1" w:styleId="26">
    <w:name w:val="正文文本缩进 字符"/>
    <w:basedOn w:val="22"/>
    <w:link w:val="10"/>
    <w:semiHidden/>
    <w:qFormat/>
    <w:uiPriority w:val="99"/>
    <w:rPr>
      <w:rFonts w:ascii="Times New Roman" w:hAnsi="Times New Roman" w:eastAsia="宋体" w:cs="Times New Roman"/>
      <w:szCs w:val="20"/>
    </w:rPr>
  </w:style>
  <w:style w:type="character" w:customStyle="1" w:styleId="27">
    <w:name w:val="正文首行缩进 2 字符"/>
    <w:basedOn w:val="26"/>
    <w:link w:val="20"/>
    <w:semiHidden/>
    <w:qFormat/>
    <w:uiPriority w:val="99"/>
    <w:rPr>
      <w:rFonts w:ascii="Times New Roman" w:hAnsi="Times New Roman" w:eastAsia="宋体" w:cs="Times New Roman"/>
      <w:szCs w:val="20"/>
    </w:rPr>
  </w:style>
  <w:style w:type="character" w:customStyle="1" w:styleId="28">
    <w:name w:val="正文文本 字符"/>
    <w:basedOn w:val="22"/>
    <w:link w:val="8"/>
    <w:semiHidden/>
    <w:qFormat/>
    <w:uiPriority w:val="99"/>
    <w:rPr>
      <w:rFonts w:ascii="Times New Roman" w:hAnsi="Times New Roman" w:eastAsia="宋体" w:cs="Times New Roman"/>
      <w:szCs w:val="20"/>
    </w:rPr>
  </w:style>
  <w:style w:type="character" w:customStyle="1" w:styleId="29">
    <w:name w:val="标题 1 字符"/>
    <w:basedOn w:val="22"/>
    <w:link w:val="2"/>
    <w:qFormat/>
    <w:uiPriority w:val="0"/>
    <w:rPr>
      <w:rFonts w:ascii="Calibri" w:hAnsi="Calibri" w:eastAsia="宋体" w:cs="Times New Roman"/>
      <w:kern w:val="44"/>
      <w:sz w:val="28"/>
      <w:szCs w:val="20"/>
    </w:rPr>
  </w:style>
  <w:style w:type="character" w:customStyle="1" w:styleId="30">
    <w:name w:val="标题 2 字符"/>
    <w:basedOn w:val="22"/>
    <w:link w:val="3"/>
    <w:qFormat/>
    <w:uiPriority w:val="0"/>
    <w:rPr>
      <w:rFonts w:ascii="Arial" w:hAnsi="Arial" w:eastAsia="宋体" w:cs="Times New Roman"/>
      <w:sz w:val="24"/>
      <w:szCs w:val="20"/>
    </w:rPr>
  </w:style>
  <w:style w:type="character" w:customStyle="1" w:styleId="31">
    <w:name w:val="标题 3 字符"/>
    <w:basedOn w:val="22"/>
    <w:link w:val="5"/>
    <w:qFormat/>
    <w:uiPriority w:val="0"/>
    <w:rPr>
      <w:rFonts w:ascii="Calibri" w:hAnsi="Calibri" w:eastAsia="黑体" w:cs="Times New Roman"/>
      <w:sz w:val="30"/>
      <w:szCs w:val="20"/>
    </w:rPr>
  </w:style>
  <w:style w:type="character" w:customStyle="1" w:styleId="32">
    <w:name w:val="标题 4 字符"/>
    <w:basedOn w:val="22"/>
    <w:link w:val="6"/>
    <w:qFormat/>
    <w:uiPriority w:val="0"/>
    <w:rPr>
      <w:rFonts w:ascii="Arial" w:hAnsi="Arial" w:eastAsia="黑体" w:cs="Times New Roman"/>
      <w:b/>
      <w:bCs/>
      <w:sz w:val="28"/>
      <w:szCs w:val="28"/>
    </w:rPr>
  </w:style>
  <w:style w:type="paragraph" w:customStyle="1" w:styleId="33">
    <w:name w:val="列出段落2"/>
    <w:basedOn w:val="1"/>
    <w:qFormat/>
    <w:uiPriority w:val="99"/>
    <w:pPr>
      <w:ind w:firstLine="420" w:firstLineChars="200"/>
    </w:pPr>
  </w:style>
  <w:style w:type="character" w:customStyle="1" w:styleId="34">
    <w:name w:val="标题 1 Char Char"/>
    <w:qFormat/>
    <w:uiPriority w:val="0"/>
    <w:rPr>
      <w:rFonts w:ascii="Calibri" w:hAnsi="Calibri" w:eastAsia="黑体"/>
      <w:kern w:val="44"/>
      <w:sz w:val="32"/>
    </w:rPr>
  </w:style>
  <w:style w:type="paragraph" w:customStyle="1" w:styleId="35">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36">
    <w:name w:val="正文首行缩进 字符"/>
    <w:basedOn w:val="28"/>
    <w:link w:val="19"/>
    <w:qFormat/>
    <w:uiPriority w:val="99"/>
    <w:rPr>
      <w:rFonts w:ascii="Times New Roman" w:hAnsi="Times New Roman" w:eastAsia="宋体" w:cs="Times New Roman"/>
      <w:szCs w:val="20"/>
    </w:rPr>
  </w:style>
  <w:style w:type="character" w:customStyle="1" w:styleId="37">
    <w:name w:val="批注文字 字符"/>
    <w:basedOn w:val="22"/>
    <w:link w:val="7"/>
    <w:semiHidden/>
    <w:qFormat/>
    <w:uiPriority w:val="99"/>
    <w:rPr>
      <w:rFonts w:ascii="Times New Roman" w:hAnsi="Times New Roman" w:eastAsia="宋体" w:cs="Times New Roman"/>
      <w:szCs w:val="20"/>
    </w:rPr>
  </w:style>
  <w:style w:type="character" w:customStyle="1" w:styleId="38">
    <w:name w:val="批注主题 字符"/>
    <w:basedOn w:val="37"/>
    <w:link w:val="18"/>
    <w:semiHidden/>
    <w:qFormat/>
    <w:uiPriority w:val="99"/>
    <w:rPr>
      <w:rFonts w:ascii="Times New Roman" w:hAnsi="Times New Roman" w:eastAsia="宋体" w:cs="Times New Roman"/>
      <w:b/>
      <w:bCs/>
      <w:szCs w:val="20"/>
    </w:rPr>
  </w:style>
  <w:style w:type="character" w:customStyle="1" w:styleId="39">
    <w:name w:val="批注框文本 字符"/>
    <w:basedOn w:val="22"/>
    <w:link w:val="12"/>
    <w:semiHidden/>
    <w:qFormat/>
    <w:uiPriority w:val="99"/>
    <w:rPr>
      <w:rFonts w:ascii="Times New Roman" w:hAnsi="Times New Roman" w:eastAsia="宋体" w:cs="Times New Roman"/>
      <w:sz w:val="18"/>
      <w:szCs w:val="18"/>
    </w:rPr>
  </w:style>
  <w:style w:type="paragraph" w:customStyle="1" w:styleId="40">
    <w:name w:val="无间隔1"/>
    <w:basedOn w:val="1"/>
    <w:qFormat/>
    <w:uiPriority w:val="99"/>
    <w:pPr>
      <w:spacing w:line="400" w:lineRule="exact"/>
    </w:pPr>
    <w:rPr>
      <w:rFonts w:ascii="Calibri" w:hAnsi="Calibri"/>
      <w:sz w:val="24"/>
      <w:szCs w:val="24"/>
    </w:rPr>
  </w:style>
  <w:style w:type="paragraph" w:styleId="41">
    <w:name w:val="List Paragraph"/>
    <w:basedOn w:val="1"/>
    <w:qFormat/>
    <w:uiPriority w:val="34"/>
    <w:pPr>
      <w:ind w:firstLine="420" w:firstLineChars="200"/>
    </w:pPr>
  </w:style>
  <w:style w:type="paragraph" w:customStyle="1" w:styleId="42">
    <w:name w:val="首行缩进，正文"/>
    <w:basedOn w:val="1"/>
    <w:link w:val="43"/>
    <w:qFormat/>
    <w:uiPriority w:val="0"/>
    <w:pPr>
      <w:spacing w:line="360" w:lineRule="auto"/>
      <w:ind w:firstLine="480" w:firstLineChars="200"/>
      <w:jc w:val="left"/>
    </w:pPr>
    <w:rPr>
      <w:rFonts w:ascii="宋体" w:hAnsi="宋体"/>
      <w:sz w:val="24"/>
      <w:szCs w:val="22"/>
      <w:lang w:val="zh-CN"/>
    </w:rPr>
  </w:style>
  <w:style w:type="character" w:customStyle="1" w:styleId="43">
    <w:name w:val="首行缩进，正文 Char"/>
    <w:link w:val="42"/>
    <w:qFormat/>
    <w:uiPriority w:val="0"/>
    <w:rPr>
      <w:rFonts w:ascii="宋体" w:hAnsi="宋体" w:eastAsia="宋体" w:cs="Times New Roman"/>
      <w:kern w:val="2"/>
      <w:sz w:val="24"/>
      <w:szCs w:val="22"/>
      <w:lang w:val="zh-CN"/>
    </w:rPr>
  </w:style>
  <w:style w:type="paragraph" w:customStyle="1" w:styleId="44">
    <w:name w:val="首行缩进"/>
    <w:basedOn w:val="1"/>
    <w:link w:val="45"/>
    <w:qFormat/>
    <w:uiPriority w:val="0"/>
    <w:pPr>
      <w:spacing w:line="360" w:lineRule="auto"/>
      <w:ind w:firstLine="480" w:firstLineChars="200"/>
    </w:pPr>
    <w:rPr>
      <w:rFonts w:ascii="宋体" w:hAnsi="宋体" w:eastAsiaTheme="minorEastAsia" w:cstheme="minorBidi"/>
      <w:sz w:val="24"/>
      <w:szCs w:val="22"/>
      <w:lang w:val="zh-CN"/>
    </w:rPr>
  </w:style>
  <w:style w:type="character" w:customStyle="1" w:styleId="45">
    <w:name w:val="首行缩进 Char"/>
    <w:basedOn w:val="22"/>
    <w:link w:val="44"/>
    <w:qFormat/>
    <w:uiPriority w:val="0"/>
    <w:rPr>
      <w:rFonts w:ascii="宋体" w:hAnsi="宋体"/>
      <w:kern w:val="2"/>
      <w:sz w:val="24"/>
      <w:szCs w:val="22"/>
      <w:lang w:val="zh-CN"/>
    </w:rPr>
  </w:style>
  <w:style w:type="paragraph" w:customStyle="1" w:styleId="46">
    <w:name w:val="List Paragraph2"/>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2200</Words>
  <Characters>2311</Characters>
  <DocSecurity>0</DocSecurity>
  <Lines>38</Lines>
  <Paragraphs>10</Paragraphs>
  <ScaleCrop>false</ScaleCrop>
  <LinksUpToDate>false</LinksUpToDate>
  <CharactersWithSpaces>2322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2024-06-12T07:28:00Z</dcterms:created>
  <dcterms:modified xsi:type="dcterms:W3CDTF">2026-05-18T09:11:38Z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CE51A8B2C74042BFA7DD65F1EBFB10DC_13</vt:lpwstr>
  </property>
  <property fmtid="{D5CDD505-2E9C-101B-9397-08002B2CF9AE}" pid="4" name="KSOTemplateDocerSaveRecord">
    <vt:lpwstr>eyJoZGlkIjoiZWFhMjQ5ZmM0NjZmNTRlMWI0MmM1MjNhNmFkNmQ1MjciLCJ1c2VySWQiOiI1ODc4MzAwMzIifQ==</vt:lpwstr>
  </property>
</Properties>
</file>