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8D450">
      <w:pPr>
        <w:pStyle w:val="2"/>
        <w:spacing w:before="0" w:line="400" w:lineRule="exact"/>
        <w:rPr>
          <w:rStyle w:val="32"/>
          <w:rFonts w:ascii="宋体" w:hAnsi="宋体" w:cstheme="minorBidi"/>
          <w:b/>
          <w:color w:val="000000" w:themeColor="text1"/>
          <w:szCs w:val="32"/>
          <w:lang w:eastAsia="zh-Hans"/>
          <w14:textFill>
            <w14:solidFill>
              <w14:schemeClr w14:val="tx1"/>
            </w14:solidFill>
          </w14:textFill>
        </w:rPr>
      </w:pPr>
      <w:bookmarkStart w:id="46" w:name="_GoBack"/>
      <w:bookmarkEnd w:id="46"/>
      <w:r>
        <w:rPr>
          <w:rStyle w:val="32"/>
          <w:rFonts w:hint="eastAsia" w:ascii="宋体" w:hAnsi="宋体" w:cstheme="minorBidi"/>
          <w:b/>
          <w:color w:val="000000" w:themeColor="text1"/>
          <w:szCs w:val="32"/>
          <w:lang w:eastAsia="zh-Hans"/>
          <w14:textFill>
            <w14:solidFill>
              <w14:schemeClr w14:val="tx1"/>
            </w14:solidFill>
          </w14:textFill>
        </w:rPr>
        <w:t>一、供应商要求</w:t>
      </w:r>
    </w:p>
    <w:p w14:paraId="7215BCED">
      <w:pPr>
        <w:pStyle w:val="3"/>
        <w:numPr>
          <w:ilvl w:val="1"/>
          <w:numId w:val="1"/>
        </w:numPr>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具备《中华人民共和国政府采购法》第二十二条规定的条件：</w:t>
      </w:r>
    </w:p>
    <w:p w14:paraId="46FDD552">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（一）具有独立承担民事责任的能力；</w:t>
      </w:r>
    </w:p>
    <w:p w14:paraId="12ED8322">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（二）具有良好的商业信誉和健全的财务会计制度，提供上一年度的财务审计报告；</w:t>
      </w:r>
    </w:p>
    <w:p w14:paraId="3CCC68BF">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（三）具有履行合同所必需的设备和专业技术能力；</w:t>
      </w:r>
    </w:p>
    <w:p w14:paraId="08DB4679">
      <w:pPr>
        <w:widowControl/>
        <w:spacing w:line="360" w:lineRule="exact"/>
        <w:ind w:firstLine="480" w:firstLineChars="200"/>
        <w:jc w:val="left"/>
        <w:rPr>
          <w:rFonts w:ascii="宋体" w:hAnsi="宋体" w:cs="宋体"/>
          <w:color w:val="FF0000"/>
          <w:kern w:val="0"/>
          <w:sz w:val="24"/>
          <w:szCs w:val="24"/>
        </w:rPr>
      </w:pPr>
      <w:r>
        <w:rPr>
          <w:rFonts w:hint="eastAsia" w:ascii="宋体" w:hAnsi="宋体" w:cs="宋体"/>
          <w:color w:val="000000"/>
          <w:kern w:val="0"/>
          <w:sz w:val="24"/>
          <w:szCs w:val="24"/>
        </w:rPr>
        <w:t>（四）具有近3个月的依法缴纳税收和社会保障资金的良好记录；</w:t>
      </w:r>
    </w:p>
    <w:p w14:paraId="5F2B56B0">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（五）参加政府采购活动前三年内，在经营活动中没有重大违法记录；</w:t>
      </w:r>
    </w:p>
    <w:p w14:paraId="1CA989C3">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（六）</w:t>
      </w:r>
      <w:r>
        <w:rPr>
          <w:rFonts w:hint="eastAsia" w:ascii="宋体" w:hAnsi="宋体" w:cs="宋体"/>
          <w:bCs/>
          <w:sz w:val="24"/>
          <w:szCs w:val="24"/>
        </w:rPr>
        <w:t>在“信用中国”网站(www.creditchina.gov.cn)中被列入失信被执行人、重大税收违法案件当事人名单、政府采购严重违法失信行为记录名单</w:t>
      </w:r>
      <w:r>
        <w:rPr>
          <w:rFonts w:hint="eastAsia" w:ascii="宋体" w:hAnsi="宋体" w:cs="宋体"/>
          <w:color w:val="000000"/>
          <w:kern w:val="0"/>
          <w:sz w:val="24"/>
          <w:szCs w:val="24"/>
        </w:rPr>
        <w:t>，拒绝其参与本招标项目；</w:t>
      </w:r>
    </w:p>
    <w:p w14:paraId="2F16BFEE">
      <w:pPr>
        <w:widowControl/>
        <w:spacing w:line="3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（七）本项目不接受联合体投标。</w:t>
      </w:r>
    </w:p>
    <w:p w14:paraId="16CDC8E2">
      <w:pPr>
        <w:pStyle w:val="3"/>
        <w:numPr>
          <w:ilvl w:val="1"/>
          <w:numId w:val="1"/>
        </w:numPr>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供应商必须提供的资质要求：</w:t>
      </w:r>
    </w:p>
    <w:tbl>
      <w:tblPr>
        <w:tblStyle w:val="1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7471"/>
      </w:tblGrid>
      <w:tr w14:paraId="2A56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1574" w:type="dxa"/>
            <w:vAlign w:val="center"/>
          </w:tcPr>
          <w:p w14:paraId="6FA03B26">
            <w:pPr>
              <w:autoSpaceDE w:val="0"/>
              <w:autoSpaceDN w:val="0"/>
              <w:adjustRightInd w:val="0"/>
              <w:spacing w:line="360" w:lineRule="exact"/>
              <w:jc w:val="center"/>
              <w:rPr>
                <w:rFonts w:ascii="宋体" w:hAnsi="宋体" w:cs="宋体"/>
                <w:b/>
                <w:sz w:val="24"/>
                <w:szCs w:val="24"/>
              </w:rPr>
            </w:pPr>
            <w:r>
              <w:rPr>
                <w:rFonts w:hint="eastAsia" w:ascii="宋体" w:hAnsi="宋体" w:cs="宋体"/>
                <w:b/>
                <w:sz w:val="24"/>
                <w:szCs w:val="24"/>
              </w:rPr>
              <w:t>条款内容</w:t>
            </w:r>
          </w:p>
        </w:tc>
        <w:tc>
          <w:tcPr>
            <w:tcW w:w="7471" w:type="dxa"/>
          </w:tcPr>
          <w:p w14:paraId="710A11B8">
            <w:pPr>
              <w:autoSpaceDE w:val="0"/>
              <w:autoSpaceDN w:val="0"/>
              <w:adjustRightInd w:val="0"/>
              <w:spacing w:line="360" w:lineRule="exact"/>
              <w:jc w:val="center"/>
              <w:rPr>
                <w:rFonts w:ascii="宋体" w:hAnsi="宋体" w:cs="宋体"/>
                <w:b/>
                <w:sz w:val="24"/>
                <w:szCs w:val="24"/>
              </w:rPr>
            </w:pPr>
            <w:r>
              <w:rPr>
                <w:rFonts w:hint="eastAsia" w:ascii="宋体" w:hAnsi="宋体" w:cs="宋体"/>
                <w:b/>
                <w:sz w:val="24"/>
                <w:szCs w:val="24"/>
              </w:rPr>
              <w:t>评审标准</w:t>
            </w:r>
          </w:p>
        </w:tc>
      </w:tr>
      <w:tr w14:paraId="251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574" w:type="dxa"/>
            <w:vAlign w:val="center"/>
          </w:tcPr>
          <w:p w14:paraId="5B8B6FB1">
            <w:pPr>
              <w:spacing w:line="360" w:lineRule="exact"/>
              <w:jc w:val="center"/>
              <w:rPr>
                <w:rFonts w:ascii="宋体" w:hAnsi="宋体" w:cs="宋体"/>
                <w:sz w:val="24"/>
                <w:szCs w:val="24"/>
              </w:rPr>
            </w:pPr>
            <w:r>
              <w:rPr>
                <w:rFonts w:hint="eastAsia" w:ascii="宋体" w:hAnsi="宋体" w:cs="宋体"/>
                <w:sz w:val="24"/>
                <w:szCs w:val="24"/>
              </w:rPr>
              <w:t>服务技术</w:t>
            </w:r>
          </w:p>
          <w:p w14:paraId="0F48D10A">
            <w:pPr>
              <w:spacing w:line="360" w:lineRule="exact"/>
              <w:jc w:val="center"/>
              <w:rPr>
                <w:rFonts w:ascii="宋体" w:hAnsi="宋体" w:cs="宋体"/>
                <w:sz w:val="24"/>
                <w:szCs w:val="24"/>
              </w:rPr>
            </w:pPr>
            <w:r>
              <w:rPr>
                <w:rFonts w:hint="eastAsia" w:ascii="宋体" w:hAnsi="宋体" w:cs="宋体"/>
                <w:sz w:val="24"/>
                <w:szCs w:val="24"/>
              </w:rPr>
              <w:t>能力</w:t>
            </w:r>
          </w:p>
        </w:tc>
        <w:tc>
          <w:tcPr>
            <w:tcW w:w="7471" w:type="dxa"/>
          </w:tcPr>
          <w:p w14:paraId="77882A25">
            <w:pPr>
              <w:rPr>
                <w:rFonts w:ascii="宋体" w:hAnsi="宋体" w:cs="宋体"/>
                <w:b/>
                <w:bCs/>
                <w:sz w:val="24"/>
                <w:szCs w:val="24"/>
              </w:rPr>
            </w:pPr>
            <w:r>
              <w:rPr>
                <w:rFonts w:hint="eastAsia" w:ascii="宋体" w:hAnsi="宋体" w:cs="宋体"/>
                <w:b/>
                <w:bCs/>
                <w:sz w:val="24"/>
                <w:szCs w:val="24"/>
              </w:rPr>
              <w:t>为了保证测评过程顺利进行，需要供应商具备以下资质：</w:t>
            </w:r>
          </w:p>
          <w:p w14:paraId="3DC5D284">
            <w:pPr>
              <w:rPr>
                <w:lang w:val="zh-CN"/>
              </w:rPr>
            </w:pPr>
            <w:r>
              <w:rPr>
                <w:rFonts w:hint="eastAsia"/>
                <w:lang w:val="zh-CN"/>
              </w:rPr>
              <w:t>1、须同时具备中国网络安全审查认证和市场监管大数据中心出具的有效期内的信息安全应急处理服务资质认证证书（一级）、</w:t>
            </w:r>
            <w:r>
              <w:rPr>
                <w:rFonts w:hint="eastAsia"/>
                <w:lang w:val="zh-CN" w:eastAsia="zh-TW"/>
              </w:rPr>
              <w:t>中国网络安全审查认证和市场监管大数据中心出具的有效期内的信息系统安全运维服务资质认证证书（一级）、中国网络安全审查认证和市场监管大数据中心出具的有效期内的信息安全风险评估服务资质认证证书（一级）、中国网络安全审查认证和市场监管大数据中心出具的有效期内的信息系统网络安全审计服务资质认证证书（三级及以上）。</w:t>
            </w:r>
          </w:p>
          <w:p w14:paraId="05F1B752">
            <w:pPr>
              <w:rPr>
                <w:lang w:val="zh-CN"/>
              </w:rPr>
            </w:pPr>
            <w:r>
              <w:rPr>
                <w:rFonts w:hint="eastAsia"/>
                <w:lang w:val="zh-CN"/>
              </w:rPr>
              <w:t>2、报价供应商为本项目配置的测评师团队，至少须具有1名高级测评师，两名中级测评师（须提供网络安全等级保护网查询截图）；注：报价文件中附认证证书复印件。</w:t>
            </w:r>
          </w:p>
        </w:tc>
      </w:tr>
      <w:tr w14:paraId="7E37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574" w:type="dxa"/>
            <w:vAlign w:val="center"/>
          </w:tcPr>
          <w:p w14:paraId="52854464">
            <w:pPr>
              <w:spacing w:line="360" w:lineRule="exact"/>
              <w:jc w:val="center"/>
              <w:rPr>
                <w:rFonts w:ascii="宋体" w:hAnsi="宋体" w:cs="宋体"/>
                <w:sz w:val="24"/>
                <w:szCs w:val="24"/>
              </w:rPr>
            </w:pPr>
            <w:r>
              <w:rPr>
                <w:rFonts w:hint="eastAsia" w:ascii="宋体" w:hAnsi="宋体" w:cs="宋体"/>
                <w:sz w:val="24"/>
                <w:szCs w:val="24"/>
              </w:rPr>
              <w:t>实施方案</w:t>
            </w:r>
          </w:p>
        </w:tc>
        <w:tc>
          <w:tcPr>
            <w:tcW w:w="7471" w:type="dxa"/>
          </w:tcPr>
          <w:p w14:paraId="5D9D7FAD">
            <w:pPr>
              <w:spacing w:line="360" w:lineRule="exact"/>
              <w:rPr>
                <w:rFonts w:ascii="宋体" w:hAnsi="宋体" w:cs="宋体"/>
                <w:sz w:val="24"/>
                <w:szCs w:val="24"/>
              </w:rPr>
            </w:pPr>
            <w:r>
              <w:rPr>
                <w:rFonts w:hint="eastAsia" w:ascii="宋体" w:hAnsi="宋体" w:cs="宋体"/>
                <w:sz w:val="24"/>
                <w:szCs w:val="24"/>
              </w:rPr>
              <w:t>提供本项目整体服务方案，根据国家及省网络安全等保工作的最新要求并结合同类项目的实施经验，提出完善的项目实施方案与服务，实施计划可操作性、交付物清晰完善、人员安排合理。</w:t>
            </w:r>
          </w:p>
        </w:tc>
      </w:tr>
    </w:tbl>
    <w:p w14:paraId="441ADEF1">
      <w:pPr>
        <w:widowControl/>
        <w:spacing w:line="360" w:lineRule="exact"/>
        <w:ind w:firstLine="482" w:firstLineChars="200"/>
        <w:jc w:val="left"/>
        <w:rPr>
          <w:rFonts w:ascii="宋体" w:hAnsi="宋体" w:cs="宋体"/>
          <w:b/>
          <w:color w:val="000000"/>
          <w:kern w:val="0"/>
          <w:sz w:val="24"/>
          <w:szCs w:val="24"/>
        </w:rPr>
      </w:pPr>
      <w:r>
        <w:rPr>
          <w:rFonts w:hint="eastAsia" w:ascii="宋体" w:hAnsi="宋体" w:cs="宋体"/>
          <w:b/>
          <w:color w:val="000000"/>
          <w:kern w:val="0"/>
          <w:sz w:val="24"/>
          <w:szCs w:val="24"/>
        </w:rPr>
        <w:t>注：为保证本项目正常实施及体现供应商的服务技术能力，报价商需携带相关资质要求纸质材料至驻马店市财政局209房间进行现场勘验, 如不进行现场勘验、报价前未提供服务实施方案等资料的，视为无效报价。</w:t>
      </w:r>
    </w:p>
    <w:p w14:paraId="55E7AA20">
      <w:pPr>
        <w:pStyle w:val="17"/>
        <w:ind w:firstLine="480" w:firstLineChars="200"/>
        <w:rPr>
          <w:rFonts w:ascii="宋体" w:hAnsi="宋体" w:cs="宋体"/>
          <w:bCs/>
          <w:kern w:val="0"/>
          <w:sz w:val="24"/>
          <w:szCs w:val="24"/>
        </w:rPr>
      </w:pPr>
      <w:r>
        <w:rPr>
          <w:rFonts w:hint="eastAsia" w:ascii="宋体" w:hAnsi="宋体" w:cs="宋体"/>
          <w:bCs/>
          <w:kern w:val="0"/>
          <w:sz w:val="24"/>
          <w:szCs w:val="24"/>
        </w:rPr>
        <w:t>资料递交地址：驻马店市财政局2</w:t>
      </w:r>
      <w:r>
        <w:rPr>
          <w:rFonts w:ascii="宋体" w:hAnsi="宋体" w:cs="宋体"/>
          <w:bCs/>
          <w:kern w:val="0"/>
          <w:sz w:val="24"/>
          <w:szCs w:val="24"/>
        </w:rPr>
        <w:t>09</w:t>
      </w:r>
      <w:r>
        <w:rPr>
          <w:rFonts w:hint="eastAsia" w:ascii="宋体" w:hAnsi="宋体" w:cs="宋体"/>
          <w:bCs/>
          <w:kern w:val="0"/>
          <w:sz w:val="24"/>
          <w:szCs w:val="24"/>
        </w:rPr>
        <w:t>房间</w:t>
      </w:r>
    </w:p>
    <w:p w14:paraId="33768104">
      <w:pPr>
        <w:pStyle w:val="17"/>
        <w:ind w:firstLine="480" w:firstLineChars="200"/>
        <w:rPr>
          <w:rStyle w:val="32"/>
          <w:rFonts w:ascii="宋体" w:hAnsi="宋体" w:eastAsia="宋体" w:cs="宋体"/>
          <w:kern w:val="2"/>
          <w:sz w:val="24"/>
          <w:szCs w:val="24"/>
        </w:rPr>
      </w:pPr>
      <w:r>
        <w:rPr>
          <w:rFonts w:hint="eastAsia" w:ascii="宋体" w:hAnsi="宋体" w:cs="宋体"/>
          <w:bCs/>
          <w:kern w:val="0"/>
          <w:sz w:val="24"/>
          <w:szCs w:val="24"/>
        </w:rPr>
        <w:t>联系电话：0396-</w:t>
      </w:r>
      <w:r>
        <w:rPr>
          <w:rFonts w:ascii="宋体" w:hAnsi="宋体" w:cs="宋体"/>
          <w:bCs/>
          <w:kern w:val="0"/>
          <w:sz w:val="24"/>
          <w:szCs w:val="24"/>
        </w:rPr>
        <w:t>2610812</w:t>
      </w:r>
    </w:p>
    <w:p w14:paraId="644045CD">
      <w:pPr>
        <w:pStyle w:val="2"/>
        <w:spacing w:before="0" w:line="400" w:lineRule="exact"/>
        <w:rPr>
          <w:rStyle w:val="32"/>
          <w:rFonts w:ascii="宋体" w:hAnsi="宋体" w:cstheme="minorBidi"/>
          <w:b/>
          <w:color w:val="000000" w:themeColor="text1"/>
          <w:szCs w:val="32"/>
          <w:lang w:eastAsia="zh-Hans"/>
          <w14:textFill>
            <w14:solidFill>
              <w14:schemeClr w14:val="tx1"/>
            </w14:solidFill>
          </w14:textFill>
        </w:rPr>
      </w:pPr>
      <w:r>
        <w:rPr>
          <w:rStyle w:val="32"/>
          <w:rFonts w:hint="eastAsia" w:ascii="宋体" w:hAnsi="宋体" w:cstheme="minorBidi"/>
          <w:b/>
          <w:color w:val="000000" w:themeColor="text1"/>
          <w:szCs w:val="32"/>
          <w:lang w:eastAsia="zh-Hans"/>
          <w14:textFill>
            <w14:solidFill>
              <w14:schemeClr w14:val="tx1"/>
            </w14:solidFill>
          </w14:textFill>
        </w:rPr>
        <w:t>二、技术要求</w:t>
      </w:r>
    </w:p>
    <w:p w14:paraId="10C2B107">
      <w:pPr>
        <w:pStyle w:val="3"/>
        <w:numPr>
          <w:ilvl w:val="1"/>
          <w:numId w:val="2"/>
        </w:numPr>
        <w:rPr>
          <w:rFonts w:ascii="宋体" w:hAnsi="宋体" w:cs="宋体"/>
          <w:b/>
          <w:bCs/>
          <w:color w:val="000000" w:themeColor="text1"/>
          <w:szCs w:val="24"/>
          <w14:textFill>
            <w14:solidFill>
              <w14:schemeClr w14:val="tx1"/>
            </w14:solidFill>
          </w14:textFill>
        </w:rPr>
      </w:pPr>
      <w:bookmarkStart w:id="0" w:name="_Toc492547115"/>
      <w:bookmarkStart w:id="1" w:name="_Toc531790515"/>
      <w:bookmarkStart w:id="2" w:name="_Toc46309845"/>
      <w:r>
        <w:rPr>
          <w:rFonts w:hint="eastAsia" w:ascii="宋体" w:hAnsi="宋体" w:cs="宋体"/>
          <w:b/>
          <w:bCs/>
          <w:color w:val="000000" w:themeColor="text1"/>
          <w:szCs w:val="24"/>
          <w14:textFill>
            <w14:solidFill>
              <w14:schemeClr w14:val="tx1"/>
            </w14:solidFill>
          </w14:textFill>
        </w:rPr>
        <w:t>项目</w:t>
      </w:r>
      <w:bookmarkEnd w:id="0"/>
      <w:bookmarkEnd w:id="1"/>
      <w:r>
        <w:rPr>
          <w:rFonts w:hint="eastAsia" w:ascii="宋体" w:hAnsi="宋体" w:cs="宋体"/>
          <w:b/>
          <w:bCs/>
          <w:color w:val="000000" w:themeColor="text1"/>
          <w:szCs w:val="24"/>
          <w14:textFill>
            <w14:solidFill>
              <w14:schemeClr w14:val="tx1"/>
            </w14:solidFill>
          </w14:textFill>
        </w:rPr>
        <w:t>概况</w:t>
      </w:r>
      <w:bookmarkEnd w:id="2"/>
    </w:p>
    <w:p w14:paraId="180E0E12">
      <w:pPr>
        <w:pStyle w:val="33"/>
        <w:spacing w:line="360" w:lineRule="auto"/>
        <w:ind w:firstLine="480"/>
        <w:rPr>
          <w:rFonts w:hint="default" w:ascii="宋体" w:hAnsi="宋体" w:eastAsia="宋体" w:cs="宋体"/>
          <w:sz w:val="24"/>
          <w:szCs w:val="24"/>
          <w:lang w:eastAsia="zh-TW"/>
        </w:rPr>
      </w:pPr>
      <w:r>
        <w:rPr>
          <w:rFonts w:ascii="宋体" w:hAnsi="宋体" w:eastAsia="宋体" w:cs="宋体"/>
          <w:color w:val="000000" w:themeColor="text1"/>
          <w:sz w:val="24"/>
          <w:szCs w:val="24"/>
          <w:lang w:val="zh-TW" w:eastAsia="zh-TW"/>
          <w14:textFill>
            <w14:solidFill>
              <w14:schemeClr w14:val="tx1"/>
            </w14:solidFill>
          </w14:textFill>
        </w:rPr>
        <w:t>为落实《中华人民共和国网络安全法》、《国家信息化领导小组关于加强信息安全保障工作的意见》等国家及部委有关文件要求。驻马店市财政局需参照《信息安全等级保护管理办法》（公通字〔2007〕 43 号）、《网络安全等级保护基本要求》（GB/T22239-2019）、《信息安全技术</w:t>
      </w:r>
      <w:r>
        <w:rPr>
          <w:rFonts w:ascii="宋体" w:hAnsi="宋体" w:eastAsia="宋体" w:cs="宋体"/>
          <w:color w:val="000000" w:themeColor="text1"/>
          <w:sz w:val="24"/>
          <w:szCs w:val="24"/>
          <w:lang w:val="zh-TW"/>
          <w14:textFill>
            <w14:solidFill>
              <w14:schemeClr w14:val="tx1"/>
            </w14:solidFill>
          </w14:textFill>
        </w:rPr>
        <w:t xml:space="preserve"> 网络</w:t>
      </w:r>
      <w:r>
        <w:rPr>
          <w:rFonts w:ascii="宋体" w:hAnsi="宋体" w:eastAsia="宋体" w:cs="宋体"/>
          <w:color w:val="000000" w:themeColor="text1"/>
          <w:sz w:val="24"/>
          <w:szCs w:val="24"/>
          <w:lang w:val="zh-TW" w:eastAsia="zh-TW"/>
          <w14:textFill>
            <w14:solidFill>
              <w14:schemeClr w14:val="tx1"/>
            </w14:solidFill>
          </w14:textFill>
        </w:rPr>
        <w:t>安全等级保护实施指南》（GB/T 25058-2019）和《信息安全等级保护安全建设整改工作指导意见》（公信安〔2009〕1429 号）等相关文件要求，结合信息系统架构和安全防护现状，落实网络安全等级保护的安全管理和安全技术要求，委托具有国家网络安全等级保护测评资质的测评机构针对财政业务生产系统、</w:t>
      </w:r>
      <w:r>
        <w:rPr>
          <w:rFonts w:ascii="宋体" w:hAnsi="宋体" w:eastAsia="宋体" w:cs="宋体"/>
          <w:color w:val="000000" w:themeColor="text1"/>
          <w:sz w:val="24"/>
          <w:szCs w:val="24"/>
          <w14:textFill>
            <w14:solidFill>
              <w14:schemeClr w14:val="tx1"/>
            </w14:solidFill>
          </w14:textFill>
        </w:rPr>
        <w:t>财政办公网络信息系统</w:t>
      </w:r>
      <w:r>
        <w:rPr>
          <w:rFonts w:ascii="宋体" w:hAnsi="宋体" w:eastAsia="宋体" w:cs="宋体"/>
          <w:color w:val="000000" w:themeColor="text1"/>
          <w:sz w:val="24"/>
          <w:szCs w:val="24"/>
          <w:lang w:val="zh-TW" w:eastAsia="zh-TW"/>
          <w14:textFill>
            <w14:solidFill>
              <w14:schemeClr w14:val="tx1"/>
            </w14:solidFill>
          </w14:textFill>
        </w:rPr>
        <w:t>开展等级测评、安全培训、应急响应、安全咨询等安全服务工</w:t>
      </w:r>
      <w:r>
        <w:rPr>
          <w:rFonts w:ascii="宋体" w:hAnsi="宋体" w:eastAsia="宋体" w:cs="宋体"/>
          <w:sz w:val="24"/>
          <w:szCs w:val="24"/>
          <w:lang w:val="zh-TW" w:eastAsia="zh-TW"/>
        </w:rPr>
        <w:t>作，切实提高驻马店市财政局网络安全保护能力和网络安全管理水平，构建以数据安全为核心的网络安全防控体系，确保重要信息系统安全稳定的运行。</w:t>
      </w:r>
      <w:bookmarkStart w:id="3" w:name="_Toc492547117"/>
    </w:p>
    <w:p w14:paraId="6E3E88AD">
      <w:pPr>
        <w:pStyle w:val="3"/>
        <w:numPr>
          <w:ilvl w:val="1"/>
          <w:numId w:val="2"/>
        </w:numPr>
        <w:rPr>
          <w:rFonts w:ascii="宋体" w:hAnsi="宋体" w:cs="宋体"/>
          <w:b/>
          <w:bCs/>
          <w:szCs w:val="24"/>
        </w:rPr>
      </w:pPr>
      <w:bookmarkStart w:id="4" w:name="4、需遵循的政策法规及行业规范"/>
      <w:bookmarkEnd w:id="4"/>
      <w:bookmarkStart w:id="5" w:name="_Toc531790516"/>
      <w:bookmarkStart w:id="6" w:name="_Toc46309846"/>
      <w:r>
        <w:rPr>
          <w:rFonts w:hint="eastAsia" w:ascii="宋体" w:hAnsi="宋体" w:cs="宋体"/>
          <w:b/>
          <w:bCs/>
          <w:szCs w:val="24"/>
        </w:rPr>
        <w:t>需遵循的政策法规及行业规范</w:t>
      </w:r>
      <w:bookmarkEnd w:id="5"/>
      <w:bookmarkEnd w:id="6"/>
    </w:p>
    <w:p w14:paraId="700E4144">
      <w:pPr>
        <w:pStyle w:val="5"/>
        <w:numPr>
          <w:ilvl w:val="0"/>
          <w:numId w:val="3"/>
        </w:numPr>
        <w:rPr>
          <w:rFonts w:ascii="宋体" w:hAnsi="宋体" w:eastAsia="宋体" w:cs="宋体"/>
          <w:sz w:val="24"/>
          <w:szCs w:val="24"/>
          <w:lang w:val="zh-TW" w:eastAsia="zh-TW"/>
        </w:rPr>
      </w:pPr>
      <w:bookmarkStart w:id="7" w:name="4.1需遵循的政策法规"/>
      <w:bookmarkEnd w:id="7"/>
      <w:bookmarkStart w:id="8" w:name="_Toc46309847"/>
      <w:bookmarkStart w:id="9" w:name="_Toc531790517"/>
      <w:r>
        <w:rPr>
          <w:rFonts w:hint="eastAsia" w:ascii="宋体" w:hAnsi="宋体" w:eastAsia="宋体" w:cs="宋体"/>
          <w:sz w:val="24"/>
          <w:szCs w:val="24"/>
          <w:lang w:val="zh-TW" w:eastAsia="zh-TW"/>
        </w:rPr>
        <w:t>需遵循的政策法规</w:t>
      </w:r>
      <w:bookmarkEnd w:id="8"/>
      <w:bookmarkEnd w:id="9"/>
    </w:p>
    <w:p w14:paraId="6DEAC79C">
      <w:pPr>
        <w:pStyle w:val="8"/>
        <w:spacing w:line="360" w:lineRule="auto"/>
        <w:ind w:left="600" w:right="45"/>
        <w:rPr>
          <w:rFonts w:ascii="宋体" w:hAnsi="宋体" w:cs="宋体"/>
          <w:sz w:val="24"/>
          <w:szCs w:val="24"/>
        </w:rPr>
      </w:pPr>
      <w:r>
        <w:rPr>
          <w:rFonts w:hint="eastAsia" w:ascii="宋体" w:hAnsi="宋体" w:cs="宋体"/>
          <w:sz w:val="24"/>
          <w:szCs w:val="24"/>
        </w:rPr>
        <w:t>（1）《中华人民共和国网络安全法》（2017</w:t>
      </w:r>
      <w:r>
        <w:rPr>
          <w:rFonts w:hint="eastAsia" w:ascii="宋体" w:hAnsi="宋体" w:cs="宋体"/>
          <w:spacing w:val="-60"/>
          <w:sz w:val="24"/>
          <w:szCs w:val="24"/>
        </w:rPr>
        <w:t xml:space="preserve"> </w:t>
      </w:r>
      <w:r>
        <w:rPr>
          <w:rFonts w:hint="eastAsia" w:ascii="宋体" w:hAnsi="宋体" w:cs="宋体"/>
          <w:sz w:val="24"/>
          <w:szCs w:val="24"/>
        </w:rPr>
        <w:t>年</w:t>
      </w:r>
      <w:r>
        <w:rPr>
          <w:rFonts w:hint="eastAsia" w:ascii="宋体" w:hAnsi="宋体" w:cs="宋体"/>
          <w:spacing w:val="-60"/>
          <w:sz w:val="24"/>
          <w:szCs w:val="24"/>
        </w:rPr>
        <w:t xml:space="preserve"> </w:t>
      </w:r>
      <w:r>
        <w:rPr>
          <w:rFonts w:hint="eastAsia" w:ascii="宋体" w:hAnsi="宋体" w:cs="宋体"/>
          <w:sz w:val="24"/>
          <w:szCs w:val="24"/>
        </w:rPr>
        <w:t>6</w:t>
      </w:r>
      <w:r>
        <w:rPr>
          <w:rFonts w:hint="eastAsia" w:ascii="宋体" w:hAnsi="宋体" w:cs="宋体"/>
          <w:spacing w:val="-60"/>
          <w:sz w:val="24"/>
          <w:szCs w:val="24"/>
        </w:rPr>
        <w:t xml:space="preserve"> </w:t>
      </w:r>
      <w:r>
        <w:rPr>
          <w:rFonts w:hint="eastAsia" w:ascii="宋体" w:hAnsi="宋体" w:cs="宋体"/>
          <w:sz w:val="24"/>
          <w:szCs w:val="24"/>
        </w:rPr>
        <w:t>月</w:t>
      </w:r>
      <w:r>
        <w:rPr>
          <w:rFonts w:hint="eastAsia" w:ascii="宋体" w:hAnsi="宋体" w:cs="宋体"/>
          <w:spacing w:val="-60"/>
          <w:sz w:val="24"/>
          <w:szCs w:val="24"/>
        </w:rPr>
        <w:t xml:space="preserve"> </w:t>
      </w:r>
      <w:r>
        <w:rPr>
          <w:rFonts w:hint="eastAsia" w:ascii="宋体" w:hAnsi="宋体" w:cs="宋体"/>
          <w:sz w:val="24"/>
          <w:szCs w:val="24"/>
        </w:rPr>
        <w:t>1</w:t>
      </w:r>
      <w:r>
        <w:rPr>
          <w:rFonts w:hint="eastAsia" w:ascii="宋体" w:hAnsi="宋体" w:cs="宋体"/>
          <w:spacing w:val="-60"/>
          <w:sz w:val="24"/>
          <w:szCs w:val="24"/>
        </w:rPr>
        <w:t xml:space="preserve"> </w:t>
      </w:r>
      <w:r>
        <w:rPr>
          <w:rFonts w:hint="eastAsia" w:ascii="宋体" w:hAnsi="宋体" w:cs="宋体"/>
          <w:sz w:val="24"/>
          <w:szCs w:val="24"/>
        </w:rPr>
        <w:t>日正式实施）</w:t>
      </w:r>
    </w:p>
    <w:p w14:paraId="62F899E4">
      <w:pPr>
        <w:pStyle w:val="8"/>
        <w:spacing w:line="360" w:lineRule="auto"/>
        <w:ind w:left="600" w:right="45"/>
        <w:rPr>
          <w:rFonts w:ascii="宋体" w:hAnsi="宋体" w:cs="宋体"/>
          <w:sz w:val="24"/>
          <w:szCs w:val="24"/>
        </w:rPr>
      </w:pPr>
      <w:r>
        <w:rPr>
          <w:rFonts w:hint="eastAsia" w:ascii="宋体" w:hAnsi="宋体" w:cs="宋体"/>
          <w:sz w:val="24"/>
          <w:szCs w:val="24"/>
        </w:rPr>
        <w:t>（2）《中华人民共和国保守国家秘密法》（1988</w:t>
      </w:r>
      <w:r>
        <w:rPr>
          <w:rFonts w:hint="eastAsia" w:ascii="宋体" w:hAnsi="宋体" w:cs="宋体"/>
          <w:spacing w:val="-67"/>
          <w:sz w:val="24"/>
          <w:szCs w:val="24"/>
        </w:rPr>
        <w:t xml:space="preserve"> </w:t>
      </w:r>
      <w:r>
        <w:rPr>
          <w:rFonts w:hint="eastAsia" w:ascii="宋体" w:hAnsi="宋体" w:cs="宋体"/>
          <w:sz w:val="24"/>
          <w:szCs w:val="24"/>
        </w:rPr>
        <w:t>年</w:t>
      </w:r>
      <w:r>
        <w:rPr>
          <w:rFonts w:hint="eastAsia" w:ascii="宋体" w:hAnsi="宋体" w:cs="宋体"/>
          <w:spacing w:val="-67"/>
          <w:sz w:val="24"/>
          <w:szCs w:val="24"/>
        </w:rPr>
        <w:t xml:space="preserve"> </w:t>
      </w:r>
      <w:r>
        <w:rPr>
          <w:rFonts w:hint="eastAsia" w:ascii="宋体" w:hAnsi="宋体" w:cs="宋体"/>
          <w:sz w:val="24"/>
          <w:szCs w:val="24"/>
        </w:rPr>
        <w:t>9</w:t>
      </w:r>
      <w:r>
        <w:rPr>
          <w:rFonts w:hint="eastAsia" w:ascii="宋体" w:hAnsi="宋体" w:cs="宋体"/>
          <w:spacing w:val="-67"/>
          <w:sz w:val="24"/>
          <w:szCs w:val="24"/>
        </w:rPr>
        <w:t xml:space="preserve"> </w:t>
      </w:r>
      <w:r>
        <w:rPr>
          <w:rFonts w:hint="eastAsia" w:ascii="宋体" w:hAnsi="宋体" w:cs="宋体"/>
          <w:sz w:val="24"/>
          <w:szCs w:val="24"/>
        </w:rPr>
        <w:t>月</w:t>
      </w:r>
      <w:r>
        <w:rPr>
          <w:rFonts w:hint="eastAsia" w:ascii="宋体" w:hAnsi="宋体" w:cs="宋体"/>
          <w:spacing w:val="-67"/>
          <w:sz w:val="24"/>
          <w:szCs w:val="24"/>
        </w:rPr>
        <w:t xml:space="preserve"> </w:t>
      </w:r>
      <w:r>
        <w:rPr>
          <w:rFonts w:hint="eastAsia" w:ascii="宋体" w:hAnsi="宋体" w:cs="宋体"/>
          <w:sz w:val="24"/>
          <w:szCs w:val="24"/>
        </w:rPr>
        <w:t>5</w:t>
      </w:r>
      <w:r>
        <w:rPr>
          <w:rFonts w:hint="eastAsia" w:ascii="宋体" w:hAnsi="宋体" w:cs="宋体"/>
          <w:spacing w:val="-67"/>
          <w:sz w:val="24"/>
          <w:szCs w:val="24"/>
        </w:rPr>
        <w:t xml:space="preserve"> </w:t>
      </w:r>
      <w:r>
        <w:rPr>
          <w:rFonts w:hint="eastAsia" w:ascii="宋体" w:hAnsi="宋体" w:cs="宋体"/>
          <w:sz w:val="24"/>
          <w:szCs w:val="24"/>
        </w:rPr>
        <w:t>日中华人民共和国主席令第</w:t>
      </w:r>
      <w:r>
        <w:rPr>
          <w:rFonts w:hint="eastAsia" w:ascii="宋体" w:hAnsi="宋体" w:cs="宋体"/>
          <w:spacing w:val="-60"/>
          <w:sz w:val="24"/>
          <w:szCs w:val="24"/>
        </w:rPr>
        <w:t xml:space="preserve"> </w:t>
      </w:r>
      <w:r>
        <w:rPr>
          <w:rFonts w:hint="eastAsia" w:ascii="宋体" w:hAnsi="宋体" w:cs="宋体"/>
          <w:sz w:val="24"/>
          <w:szCs w:val="24"/>
        </w:rPr>
        <w:t>6</w:t>
      </w:r>
      <w:r>
        <w:rPr>
          <w:rFonts w:hint="eastAsia" w:ascii="宋体" w:hAnsi="宋体" w:cs="宋体"/>
          <w:spacing w:val="-60"/>
          <w:sz w:val="24"/>
          <w:szCs w:val="24"/>
        </w:rPr>
        <w:t xml:space="preserve"> </w:t>
      </w:r>
      <w:r>
        <w:rPr>
          <w:rFonts w:hint="eastAsia" w:ascii="宋体" w:hAnsi="宋体" w:cs="宋体"/>
          <w:sz w:val="24"/>
          <w:szCs w:val="24"/>
        </w:rPr>
        <w:t>号公布）</w:t>
      </w:r>
    </w:p>
    <w:p w14:paraId="7634A128">
      <w:pPr>
        <w:pStyle w:val="8"/>
        <w:spacing w:line="360" w:lineRule="auto"/>
        <w:ind w:left="120" w:right="45" w:firstLine="480"/>
        <w:rPr>
          <w:rFonts w:ascii="宋体" w:hAnsi="宋体" w:cs="宋体"/>
          <w:sz w:val="24"/>
          <w:szCs w:val="24"/>
        </w:rPr>
      </w:pPr>
      <w:r>
        <w:rPr>
          <w:rFonts w:hint="eastAsia" w:ascii="宋体" w:hAnsi="宋体" w:cs="宋体"/>
          <w:sz w:val="24"/>
          <w:szCs w:val="24"/>
        </w:rPr>
        <w:t>（3）《中华人民共和国保守国家秘密法实施办法》（国家保密局文件国保发[1990]1</w:t>
      </w:r>
      <w:r>
        <w:rPr>
          <w:rFonts w:hint="eastAsia" w:ascii="宋体" w:hAnsi="宋体" w:cs="宋体"/>
          <w:spacing w:val="-60"/>
          <w:sz w:val="24"/>
          <w:szCs w:val="24"/>
        </w:rPr>
        <w:t xml:space="preserve"> </w:t>
      </w:r>
      <w:r>
        <w:rPr>
          <w:rFonts w:hint="eastAsia" w:ascii="宋体" w:hAnsi="宋体" w:cs="宋体"/>
          <w:sz w:val="24"/>
          <w:szCs w:val="24"/>
        </w:rPr>
        <w:t>号）</w:t>
      </w:r>
    </w:p>
    <w:p w14:paraId="5C1779DC">
      <w:pPr>
        <w:pStyle w:val="8"/>
        <w:spacing w:line="360" w:lineRule="auto"/>
        <w:ind w:left="120" w:right="45" w:firstLine="480"/>
        <w:rPr>
          <w:rFonts w:ascii="宋体" w:hAnsi="宋体" w:cs="宋体"/>
          <w:sz w:val="24"/>
          <w:szCs w:val="24"/>
        </w:rPr>
      </w:pPr>
      <w:r>
        <w:rPr>
          <w:rFonts w:hint="eastAsia" w:ascii="宋体" w:hAnsi="宋体" w:cs="宋体"/>
          <w:sz w:val="24"/>
          <w:szCs w:val="24"/>
        </w:rPr>
        <w:t>（4）《中华人民共和国国家安全法》（主席令</w:t>
      </w:r>
      <w:r>
        <w:rPr>
          <w:rFonts w:hint="eastAsia" w:ascii="宋体" w:hAnsi="宋体" w:cs="宋体"/>
          <w:spacing w:val="-65"/>
          <w:sz w:val="24"/>
          <w:szCs w:val="24"/>
        </w:rPr>
        <w:t xml:space="preserve"> </w:t>
      </w:r>
      <w:r>
        <w:rPr>
          <w:rFonts w:hint="eastAsia" w:ascii="宋体" w:hAnsi="宋体" w:cs="宋体"/>
          <w:sz w:val="24"/>
          <w:szCs w:val="24"/>
        </w:rPr>
        <w:t>68</w:t>
      </w:r>
      <w:r>
        <w:rPr>
          <w:rFonts w:hint="eastAsia" w:ascii="宋体" w:hAnsi="宋体" w:cs="宋体"/>
          <w:spacing w:val="-65"/>
          <w:sz w:val="24"/>
          <w:szCs w:val="24"/>
        </w:rPr>
        <w:t xml:space="preserve"> </w:t>
      </w:r>
      <w:r>
        <w:rPr>
          <w:rFonts w:hint="eastAsia" w:ascii="宋体" w:hAnsi="宋体" w:cs="宋体"/>
          <w:sz w:val="24"/>
          <w:szCs w:val="24"/>
        </w:rPr>
        <w:t>号，1993</w:t>
      </w:r>
      <w:r>
        <w:rPr>
          <w:rFonts w:hint="eastAsia" w:ascii="宋体" w:hAnsi="宋体" w:cs="宋体"/>
          <w:spacing w:val="-65"/>
          <w:sz w:val="24"/>
          <w:szCs w:val="24"/>
        </w:rPr>
        <w:t xml:space="preserve"> </w:t>
      </w:r>
      <w:r>
        <w:rPr>
          <w:rFonts w:hint="eastAsia" w:ascii="宋体" w:hAnsi="宋体" w:cs="宋体"/>
          <w:sz w:val="24"/>
          <w:szCs w:val="24"/>
        </w:rPr>
        <w:t>年</w:t>
      </w:r>
      <w:r>
        <w:rPr>
          <w:rFonts w:hint="eastAsia" w:ascii="宋体" w:hAnsi="宋体" w:cs="宋体"/>
          <w:spacing w:val="-65"/>
          <w:sz w:val="24"/>
          <w:szCs w:val="24"/>
        </w:rPr>
        <w:t xml:space="preserve"> </w:t>
      </w:r>
      <w:r>
        <w:rPr>
          <w:rFonts w:hint="eastAsia" w:ascii="宋体" w:hAnsi="宋体" w:cs="宋体"/>
          <w:sz w:val="24"/>
          <w:szCs w:val="24"/>
        </w:rPr>
        <w:t>2</w:t>
      </w:r>
      <w:r>
        <w:rPr>
          <w:rFonts w:hint="eastAsia" w:ascii="宋体" w:hAnsi="宋体" w:cs="宋体"/>
          <w:spacing w:val="-65"/>
          <w:sz w:val="24"/>
          <w:szCs w:val="24"/>
        </w:rPr>
        <w:t xml:space="preserve"> </w:t>
      </w:r>
      <w:r>
        <w:rPr>
          <w:rFonts w:hint="eastAsia" w:ascii="宋体" w:hAnsi="宋体" w:cs="宋体"/>
          <w:sz w:val="24"/>
          <w:szCs w:val="24"/>
        </w:rPr>
        <w:t>月</w:t>
      </w:r>
      <w:r>
        <w:rPr>
          <w:rFonts w:hint="eastAsia" w:ascii="宋体" w:hAnsi="宋体" w:cs="宋体"/>
          <w:spacing w:val="-66"/>
          <w:sz w:val="24"/>
          <w:szCs w:val="24"/>
        </w:rPr>
        <w:t xml:space="preserve"> </w:t>
      </w:r>
      <w:r>
        <w:rPr>
          <w:rFonts w:hint="eastAsia" w:ascii="宋体" w:hAnsi="宋体" w:cs="宋体"/>
          <w:sz w:val="24"/>
          <w:szCs w:val="24"/>
        </w:rPr>
        <w:t>22</w:t>
      </w:r>
      <w:r>
        <w:rPr>
          <w:rFonts w:hint="eastAsia" w:ascii="宋体" w:hAnsi="宋体" w:cs="宋体"/>
          <w:spacing w:val="-65"/>
          <w:sz w:val="24"/>
          <w:szCs w:val="24"/>
        </w:rPr>
        <w:t xml:space="preserve"> </w:t>
      </w:r>
      <w:r>
        <w:rPr>
          <w:rFonts w:hint="eastAsia" w:ascii="宋体" w:hAnsi="宋体" w:cs="宋体"/>
          <w:sz w:val="24"/>
          <w:szCs w:val="24"/>
        </w:rPr>
        <w:t>日第七届全国人民代表大会常务委员会第三十次会议通过）</w:t>
      </w:r>
    </w:p>
    <w:p w14:paraId="0BAAD05B">
      <w:pPr>
        <w:pStyle w:val="8"/>
        <w:spacing w:line="360" w:lineRule="auto"/>
        <w:ind w:left="600" w:right="45"/>
        <w:rPr>
          <w:rFonts w:ascii="宋体" w:hAnsi="宋体" w:cs="宋体"/>
          <w:sz w:val="24"/>
          <w:szCs w:val="24"/>
        </w:rPr>
      </w:pPr>
      <w:r>
        <w:rPr>
          <w:rFonts w:hint="eastAsia" w:ascii="宋体" w:hAnsi="宋体" w:cs="宋体"/>
          <w:spacing w:val="-4"/>
          <w:sz w:val="24"/>
          <w:szCs w:val="24"/>
        </w:rPr>
        <w:t xml:space="preserve">（5）《中华人民共和国计算机信息系统安全保护条例》（国务院令 </w:t>
      </w:r>
      <w:r>
        <w:rPr>
          <w:rFonts w:hint="eastAsia" w:ascii="宋体" w:hAnsi="宋体" w:cs="宋体"/>
          <w:sz w:val="24"/>
          <w:szCs w:val="24"/>
        </w:rPr>
        <w:t>147</w:t>
      </w:r>
      <w:r>
        <w:rPr>
          <w:rFonts w:hint="eastAsia" w:ascii="宋体" w:hAnsi="宋体" w:cs="宋体"/>
          <w:spacing w:val="-91"/>
          <w:sz w:val="24"/>
          <w:szCs w:val="24"/>
        </w:rPr>
        <w:t xml:space="preserve"> </w:t>
      </w:r>
      <w:r>
        <w:rPr>
          <w:rFonts w:hint="eastAsia" w:ascii="宋体" w:hAnsi="宋体" w:cs="宋体"/>
          <w:sz w:val="24"/>
          <w:szCs w:val="24"/>
        </w:rPr>
        <w:t>号）</w:t>
      </w:r>
    </w:p>
    <w:p w14:paraId="3307E7F6">
      <w:pPr>
        <w:pStyle w:val="8"/>
        <w:spacing w:line="360" w:lineRule="auto"/>
        <w:ind w:left="120" w:right="45" w:firstLine="480"/>
        <w:rPr>
          <w:rFonts w:ascii="宋体" w:hAnsi="宋体" w:cs="宋体"/>
          <w:sz w:val="24"/>
          <w:szCs w:val="24"/>
        </w:rPr>
      </w:pPr>
      <w:r>
        <w:rPr>
          <w:rFonts w:hint="eastAsia" w:ascii="宋体" w:hAnsi="宋体" w:cs="宋体"/>
          <w:spacing w:val="-9"/>
          <w:sz w:val="24"/>
          <w:szCs w:val="24"/>
        </w:rPr>
        <w:t>（6）《计算机信息系统保密管理暂行规定》（国家保密局文件国保发[1998]1</w:t>
      </w:r>
      <w:r>
        <w:rPr>
          <w:rFonts w:hint="eastAsia" w:ascii="宋体" w:hAnsi="宋体" w:cs="宋体"/>
          <w:sz w:val="24"/>
          <w:szCs w:val="24"/>
        </w:rPr>
        <w:t xml:space="preserve"> 号）</w:t>
      </w:r>
    </w:p>
    <w:p w14:paraId="515A84FC">
      <w:pPr>
        <w:pStyle w:val="8"/>
        <w:spacing w:line="360" w:lineRule="auto"/>
        <w:ind w:left="120" w:right="45" w:firstLine="480"/>
        <w:rPr>
          <w:rFonts w:ascii="宋体" w:hAnsi="宋体" w:cs="宋体"/>
          <w:sz w:val="24"/>
          <w:szCs w:val="24"/>
        </w:rPr>
      </w:pPr>
      <w:r>
        <w:rPr>
          <w:rFonts w:hint="eastAsia" w:ascii="宋体" w:hAnsi="宋体" w:cs="宋体"/>
          <w:sz w:val="24"/>
          <w:szCs w:val="24"/>
        </w:rPr>
        <w:t>（7）《计算机信息系统国际联网保密管理规定》（国家保密局文件国保发 [1999]1</w:t>
      </w:r>
      <w:r>
        <w:rPr>
          <w:rFonts w:hint="eastAsia" w:ascii="宋体" w:hAnsi="宋体" w:cs="宋体"/>
          <w:spacing w:val="-60"/>
          <w:sz w:val="24"/>
          <w:szCs w:val="24"/>
        </w:rPr>
        <w:t xml:space="preserve"> </w:t>
      </w:r>
      <w:r>
        <w:rPr>
          <w:rFonts w:hint="eastAsia" w:ascii="宋体" w:hAnsi="宋体" w:cs="宋体"/>
          <w:sz w:val="24"/>
          <w:szCs w:val="24"/>
        </w:rPr>
        <w:t>号）</w:t>
      </w:r>
    </w:p>
    <w:p w14:paraId="18AC8F5E">
      <w:pPr>
        <w:pStyle w:val="8"/>
        <w:spacing w:line="360" w:lineRule="auto"/>
        <w:ind w:left="120" w:right="45" w:firstLine="48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（8）《中华人民共和国计算机信息网络国际联网管理暂行规定》（国务院令</w:t>
      </w:r>
      <w:r>
        <w:rPr>
          <w:rFonts w:hint="eastAsia" w:ascii="宋体" w:hAnsi="宋体" w:cs="宋体"/>
          <w:spacing w:val="-60"/>
          <w:sz w:val="24"/>
          <w:szCs w:val="24"/>
        </w:rPr>
        <w:t xml:space="preserve"> </w:t>
      </w:r>
      <w:r>
        <w:rPr>
          <w:rFonts w:hint="eastAsia" w:ascii="宋体" w:hAnsi="宋体" w:cs="宋体"/>
          <w:sz w:val="24"/>
          <w:szCs w:val="24"/>
        </w:rPr>
        <w:t>195</w:t>
      </w:r>
      <w:r>
        <w:rPr>
          <w:rFonts w:hint="eastAsia" w:ascii="宋体" w:hAnsi="宋体" w:cs="宋体"/>
          <w:spacing w:val="-60"/>
          <w:sz w:val="24"/>
          <w:szCs w:val="24"/>
        </w:rPr>
        <w:t xml:space="preserve"> </w:t>
      </w:r>
      <w:r>
        <w:rPr>
          <w:rFonts w:hint="eastAsia" w:ascii="宋体" w:hAnsi="宋体" w:cs="宋体"/>
          <w:sz w:val="24"/>
          <w:szCs w:val="24"/>
        </w:rPr>
        <w:t>号）</w:t>
      </w:r>
    </w:p>
    <w:p w14:paraId="2F04B821">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（9）《中华人民共和国计算机信息网络国际联网管理暂行规定实施办法》</w:t>
      </w:r>
    </w:p>
    <w:p w14:paraId="63189F8E">
      <w:pPr>
        <w:pStyle w:val="8"/>
        <w:spacing w:line="360" w:lineRule="auto"/>
        <w:ind w:left="12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（1997</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日国务院信息化工作领导小组审定）</w:t>
      </w:r>
    </w:p>
    <w:p w14:paraId="42ADF50F">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（10）《计算机病毒防治管理办法》（2000</w:t>
      </w:r>
      <w:r>
        <w:rPr>
          <w:rFonts w:hint="eastAsia" w:ascii="宋体" w:hAnsi="宋体" w:cs="宋体"/>
          <w:color w:val="000000" w:themeColor="text1"/>
          <w:spacing w:val="-6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6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pacing w:val="-6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pacing w:val="-6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color w:val="000000" w:themeColor="text1"/>
          <w:spacing w:val="-6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日中华人民共和国公</w:t>
      </w:r>
    </w:p>
    <w:p w14:paraId="269F1E90">
      <w:pPr>
        <w:pStyle w:val="8"/>
        <w:spacing w:line="360" w:lineRule="auto"/>
        <w:ind w:left="12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安部第</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51</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号令）</w:t>
      </w:r>
    </w:p>
    <w:p w14:paraId="4164332F">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3"/>
          <w:sz w:val="24"/>
          <w:szCs w:val="24"/>
          <w14:textFill>
            <w14:solidFill>
              <w14:schemeClr w14:val="tx1"/>
            </w14:solidFill>
          </w14:textFill>
        </w:rPr>
        <w:t>（11）《计算机信息网络国际联网安全保护管理办法》（1997</w:t>
      </w:r>
      <w:r>
        <w:rPr>
          <w:rFonts w:hint="eastAsia" w:ascii="宋体" w:hAnsi="宋体" w:cs="宋体"/>
          <w:color w:val="000000" w:themeColor="text1"/>
          <w:spacing w:val="-53"/>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53"/>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pacing w:val="-53"/>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pacing w:val="-4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11</w:t>
      </w:r>
    </w:p>
    <w:p w14:paraId="3C0C66BE">
      <w:pPr>
        <w:pStyle w:val="8"/>
        <w:spacing w:line="360" w:lineRule="auto"/>
        <w:ind w:left="12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日国务院批准，1997</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日公安部发布）</w:t>
      </w:r>
    </w:p>
    <w:p w14:paraId="42CE6A9A">
      <w:pPr>
        <w:pStyle w:val="8"/>
        <w:spacing w:line="360" w:lineRule="auto"/>
        <w:ind w:left="120" w:right="45"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（12）《计算机信息系统安全专用产品分类原则》（1997</w:t>
      </w:r>
      <w:r>
        <w:rPr>
          <w:rFonts w:hint="eastAsia" w:ascii="宋体" w:hAnsi="宋体" w:cs="宋体"/>
          <w:color w:val="000000" w:themeColor="text1"/>
          <w:spacing w:val="-4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3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pacing w:val="-4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月公安部发布）</w:t>
      </w:r>
    </w:p>
    <w:p w14:paraId="03DC7F26">
      <w:pPr>
        <w:pStyle w:val="8"/>
        <w:spacing w:line="360" w:lineRule="auto"/>
        <w:ind w:left="141" w:leftChars="67" w:right="45" w:firstLine="424" w:firstLineChars="183"/>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（13）《互联网电子公告服务管理规定》（信息产业部</w:t>
      </w:r>
      <w:r>
        <w:rPr>
          <w:rFonts w:hint="eastAsia" w:ascii="宋体" w:hAnsi="宋体" w:cs="宋体"/>
          <w:color w:val="000000" w:themeColor="text1"/>
          <w:spacing w:val="-5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2000</w:t>
      </w:r>
      <w:r>
        <w:rPr>
          <w:rFonts w:hint="eastAsia" w:ascii="宋体" w:hAnsi="宋体" w:cs="宋体"/>
          <w:color w:val="000000" w:themeColor="text1"/>
          <w:spacing w:val="-5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5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pacing w:val="-5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pacing w:val="-5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日第4</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次部务会议通过）</w:t>
      </w:r>
    </w:p>
    <w:p w14:paraId="3D06892E">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（14）《计算机信息系统安全等级保护划分准则》（GB/T17859-1999）</w:t>
      </w:r>
    </w:p>
    <w:p w14:paraId="3EC98247">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（15）《计算机信息系统安全等级保护网络技术要求》（GA/T387-2002）</w:t>
      </w:r>
    </w:p>
    <w:p w14:paraId="5397AC18">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6"/>
          <w:sz w:val="24"/>
          <w:szCs w:val="24"/>
          <w14:textFill>
            <w14:solidFill>
              <w14:schemeClr w14:val="tx1"/>
            </w14:solidFill>
          </w14:textFill>
        </w:rPr>
        <w:t>（16）《计算机信息系统安全等级保护操作系统技术要求》（GA/T388-2002）</w:t>
      </w:r>
    </w:p>
    <w:p w14:paraId="7CB1E770">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pacing w:val="-92"/>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17</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计</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算</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机</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pacing w:val="14"/>
          <w:sz w:val="24"/>
          <w:szCs w:val="24"/>
          <w14:textFill>
            <w14:solidFill>
              <w14:schemeClr w14:val="tx1"/>
            </w14:solidFill>
          </w14:textFill>
        </w:rPr>
        <w:t>信息</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统</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安</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全</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等</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级</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保</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pacing w:val="14"/>
          <w:sz w:val="24"/>
          <w:szCs w:val="24"/>
          <w14:textFill>
            <w14:solidFill>
              <w14:schemeClr w14:val="tx1"/>
            </w14:solidFill>
          </w14:textFill>
        </w:rPr>
        <w:t>护数</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据</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库</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管</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理</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统</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技</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pacing w:val="14"/>
          <w:sz w:val="24"/>
          <w:szCs w:val="24"/>
          <w14:textFill>
            <w14:solidFill>
              <w14:schemeClr w14:val="tx1"/>
            </w14:solidFill>
          </w14:textFill>
        </w:rPr>
        <w:t>术要</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求</w:t>
      </w:r>
      <w:r>
        <w:rPr>
          <w:rFonts w:hint="eastAsia" w:ascii="宋体" w:hAnsi="宋体" w:cs="宋体"/>
          <w:color w:val="000000" w:themeColor="text1"/>
          <w:spacing w:val="-89"/>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5008A1E8">
      <w:pPr>
        <w:pStyle w:val="8"/>
        <w:spacing w:line="360" w:lineRule="auto"/>
        <w:ind w:left="12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（GA/T389-2002）</w:t>
      </w:r>
    </w:p>
    <w:p w14:paraId="7638229C">
      <w:pPr>
        <w:pStyle w:val="8"/>
        <w:spacing w:line="360" w:lineRule="auto"/>
        <w:ind w:left="120" w:right="45"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（18）《计算机信息系统安全保护等级划分准则》（1999</w:t>
      </w:r>
      <w:r>
        <w:rPr>
          <w:rFonts w:hint="eastAsia" w:ascii="宋体" w:hAnsi="宋体" w:cs="宋体"/>
          <w:color w:val="000000" w:themeColor="text1"/>
          <w:spacing w:val="-4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37"/>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pacing w:val="-4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月国家技术监督局发布）</w:t>
      </w:r>
    </w:p>
    <w:p w14:paraId="6294B900">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（19）《计算机信息系统安全等级保护通用技术要求》（GA/T390-2002）</w:t>
      </w:r>
    </w:p>
    <w:p w14:paraId="7E8A186D">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（20）《计算机信息系统安全等级保护管理要求》（GA/T391-2002）</w:t>
      </w:r>
    </w:p>
    <w:p w14:paraId="12D80F3A">
      <w:pPr>
        <w:pStyle w:val="8"/>
        <w:spacing w:line="360" w:lineRule="auto"/>
        <w:ind w:left="142" w:right="45" w:firstLine="424" w:firstLineChars="177"/>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（21）《计算机机房场地安全要求》（GB9361-88） 供应商必须遵循但不限于以上法律法规。</w:t>
      </w:r>
    </w:p>
    <w:p w14:paraId="05CCE0D7">
      <w:pPr>
        <w:pStyle w:val="5"/>
        <w:numPr>
          <w:ilvl w:val="0"/>
          <w:numId w:val="3"/>
        </w:numPr>
        <w:rPr>
          <w:rFonts w:ascii="宋体" w:hAnsi="宋体" w:eastAsia="宋体" w:cs="宋体"/>
          <w:color w:val="000000" w:themeColor="text1"/>
          <w:sz w:val="24"/>
          <w:szCs w:val="24"/>
          <w:lang w:val="zh-TW" w:eastAsia="zh-TW"/>
          <w14:textFill>
            <w14:solidFill>
              <w14:schemeClr w14:val="tx1"/>
            </w14:solidFill>
          </w14:textFill>
        </w:rPr>
      </w:pPr>
      <w:bookmarkStart w:id="10" w:name="4.2需遵循的行业规范"/>
      <w:bookmarkEnd w:id="10"/>
      <w:bookmarkStart w:id="11" w:name="_Toc531790518"/>
      <w:bookmarkStart w:id="12" w:name="_Toc46309848"/>
      <w:r>
        <w:rPr>
          <w:rFonts w:hint="eastAsia" w:ascii="宋体" w:hAnsi="宋体" w:eastAsia="宋体" w:cs="宋体"/>
          <w:color w:val="000000" w:themeColor="text1"/>
          <w:sz w:val="24"/>
          <w:szCs w:val="24"/>
          <w:lang w:val="zh-TW" w:eastAsia="zh-TW"/>
          <w14:textFill>
            <w14:solidFill>
              <w14:schemeClr w14:val="tx1"/>
            </w14:solidFill>
          </w14:textFill>
        </w:rPr>
        <w:t>需遵循的行业规范</w:t>
      </w:r>
      <w:bookmarkEnd w:id="11"/>
      <w:bookmarkEnd w:id="12"/>
    </w:p>
    <w:p w14:paraId="1FDA577F">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（1）《中华人民共和国计算机信息系统安全保护条例》（147</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号令）1994</w:t>
      </w:r>
    </w:p>
    <w:p w14:paraId="165B703E">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（2）《信息安全等级保护管理办法》(公通字[2007]43</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w:t>
      </w:r>
    </w:p>
    <w:p w14:paraId="4CEDAA7A">
      <w:pPr>
        <w:pStyle w:val="8"/>
        <w:spacing w:line="360" w:lineRule="auto"/>
        <w:ind w:left="120" w:right="45"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（3）《国家电子政务工程建设项目管理暂行办法》（中华人民共和国国家发展和改革委员会令第</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55</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 2007</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pacing w:val="-6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p>
    <w:p w14:paraId="54B1EDC0">
      <w:pPr>
        <w:pStyle w:val="8"/>
        <w:spacing w:line="360" w:lineRule="auto"/>
        <w:ind w:left="120" w:right="45"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3"/>
          <w:sz w:val="24"/>
          <w:szCs w:val="24"/>
          <w14:textFill>
            <w14:solidFill>
              <w14:schemeClr w14:val="tx1"/>
            </w14:solidFill>
          </w14:textFill>
        </w:rPr>
        <w:t>（4）《信息安全等级保护安全建设整改工作指导意见》(公信安[2009]1429</w:t>
      </w:r>
      <w:r>
        <w:rPr>
          <w:rFonts w:hint="eastAsia" w:ascii="宋体" w:hAnsi="宋体" w:cs="宋体"/>
          <w:color w:val="000000" w:themeColor="text1"/>
          <w:sz w:val="24"/>
          <w:szCs w:val="24"/>
          <w14:textFill>
            <w14:solidFill>
              <w14:schemeClr w14:val="tx1"/>
            </w14:solidFill>
          </w14:textFill>
        </w:rPr>
        <w:t xml:space="preserve">号) </w:t>
      </w:r>
    </w:p>
    <w:p w14:paraId="48FABA03">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（5）《信息安全技术 网络安全保护等级保护测评要求》</w:t>
      </w:r>
    </w:p>
    <w:p w14:paraId="55BEE812">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（6）《关于开展全国重要信息系统安全等级保护定级工作的通知》</w:t>
      </w:r>
    </w:p>
    <w:p w14:paraId="17D9D25C">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（7）《信息安全技术 网络安全等级保护定级指南》</w:t>
      </w:r>
    </w:p>
    <w:p w14:paraId="1A67C268">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（8）《信息安全技术 网络安全等级保护基本要求》</w:t>
      </w:r>
    </w:p>
    <w:p w14:paraId="1999BEFD">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（9）《信息安全技术 网络安全等级保护实施指南》</w:t>
      </w:r>
    </w:p>
    <w:p w14:paraId="3A40B405">
      <w:pPr>
        <w:pStyle w:val="8"/>
        <w:spacing w:line="360" w:lineRule="auto"/>
        <w:ind w:left="600" w:right="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（10）《信息安全等级保护安全建设整改工作指南》</w:t>
      </w:r>
    </w:p>
    <w:bookmarkEnd w:id="3"/>
    <w:p w14:paraId="5F4701ED">
      <w:pPr>
        <w:pStyle w:val="3"/>
        <w:numPr>
          <w:ilvl w:val="1"/>
          <w:numId w:val="2"/>
        </w:numPr>
        <w:rPr>
          <w:rFonts w:ascii="宋体" w:hAnsi="宋体" w:cs="宋体"/>
          <w:b/>
          <w:bCs/>
          <w:color w:val="000000" w:themeColor="text1"/>
          <w:szCs w:val="24"/>
          <w14:textFill>
            <w14:solidFill>
              <w14:schemeClr w14:val="tx1"/>
            </w14:solidFill>
          </w14:textFill>
        </w:rPr>
      </w:pPr>
      <w:bookmarkStart w:id="13" w:name="_Toc46309849"/>
      <w:bookmarkStart w:id="14" w:name="_Toc531790520"/>
      <w:r>
        <w:rPr>
          <w:rFonts w:hint="eastAsia" w:ascii="宋体" w:hAnsi="宋体" w:cs="宋体"/>
          <w:b/>
          <w:bCs/>
          <w:color w:val="000000" w:themeColor="text1"/>
          <w:szCs w:val="24"/>
          <w14:textFill>
            <w14:solidFill>
              <w14:schemeClr w14:val="tx1"/>
            </w14:solidFill>
          </w14:textFill>
        </w:rPr>
        <w:t>项目范围</w:t>
      </w:r>
      <w:bookmarkEnd w:id="13"/>
      <w:bookmarkEnd w:id="14"/>
    </w:p>
    <w:p w14:paraId="4221C055">
      <w:pPr>
        <w:pStyle w:val="33"/>
        <w:spacing w:line="360" w:lineRule="auto"/>
        <w:ind w:firstLine="480" w:firstLineChars="20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完成驻马店市财政局财政业务生产系统、</w:t>
      </w:r>
      <w:r>
        <w:rPr>
          <w:rFonts w:ascii="宋体" w:hAnsi="宋体" w:eastAsia="宋体" w:cs="宋体"/>
          <w:color w:val="000000" w:themeColor="text1"/>
          <w:sz w:val="24"/>
          <w:szCs w:val="24"/>
          <w14:textFill>
            <w14:solidFill>
              <w14:schemeClr w14:val="tx1"/>
            </w14:solidFill>
          </w14:textFill>
        </w:rPr>
        <w:t>财政办公网络信息系统</w:t>
      </w:r>
      <w:r>
        <w:rPr>
          <w:rFonts w:ascii="宋体" w:hAnsi="宋体" w:eastAsia="宋体" w:cs="宋体"/>
          <w:color w:val="000000" w:themeColor="text1"/>
          <w:sz w:val="24"/>
          <w:szCs w:val="24"/>
          <w:lang w:val="zh-TW" w:eastAsia="zh-TW"/>
          <w14:textFill>
            <w14:solidFill>
              <w14:schemeClr w14:val="tx1"/>
            </w14:solidFill>
          </w14:textFill>
        </w:rPr>
        <w:t>的网络安全等级测评、网络安全服务、应急响应、安全培训等服务工作。</w:t>
      </w:r>
    </w:p>
    <w:p w14:paraId="23DC518D">
      <w:pPr>
        <w:pStyle w:val="3"/>
        <w:numPr>
          <w:ilvl w:val="1"/>
          <w:numId w:val="2"/>
        </w:numPr>
        <w:rPr>
          <w:rFonts w:ascii="宋体" w:hAnsi="宋体" w:cs="宋体"/>
          <w:b/>
          <w:bCs/>
          <w:color w:val="000000" w:themeColor="text1"/>
          <w:szCs w:val="24"/>
          <w14:textFill>
            <w14:solidFill>
              <w14:schemeClr w14:val="tx1"/>
            </w14:solidFill>
          </w14:textFill>
        </w:rPr>
      </w:pPr>
      <w:bookmarkStart w:id="15" w:name="_Toc492547118"/>
      <w:bookmarkStart w:id="16" w:name="_Toc531790521"/>
      <w:bookmarkStart w:id="17" w:name="_Toc46309850"/>
      <w:r>
        <w:rPr>
          <w:rFonts w:hint="eastAsia" w:ascii="宋体" w:hAnsi="宋体" w:cs="宋体"/>
          <w:b/>
          <w:bCs/>
          <w:color w:val="000000" w:themeColor="text1"/>
          <w:szCs w:val="24"/>
          <w14:textFill>
            <w14:solidFill>
              <w14:schemeClr w14:val="tx1"/>
            </w14:solidFill>
          </w14:textFill>
        </w:rPr>
        <w:t>技术要求</w:t>
      </w:r>
      <w:bookmarkEnd w:id="15"/>
      <w:bookmarkEnd w:id="16"/>
      <w:bookmarkEnd w:id="17"/>
    </w:p>
    <w:p w14:paraId="56314B70">
      <w:pPr>
        <w:pStyle w:val="5"/>
        <w:numPr>
          <w:ilvl w:val="0"/>
          <w:numId w:val="4"/>
        </w:numPr>
        <w:rPr>
          <w:rFonts w:ascii="宋体" w:hAnsi="宋体" w:eastAsia="宋体" w:cs="宋体"/>
          <w:color w:val="000000" w:themeColor="text1"/>
          <w:sz w:val="24"/>
          <w:szCs w:val="24"/>
          <w:lang w:val="zh-TW" w:eastAsia="zh-TW"/>
          <w14:textFill>
            <w14:solidFill>
              <w14:schemeClr w14:val="tx1"/>
            </w14:solidFill>
          </w14:textFill>
        </w:rPr>
      </w:pPr>
      <w:bookmarkStart w:id="18" w:name="_Toc46309851"/>
      <w:bookmarkStart w:id="19" w:name="_Toc40794976"/>
      <w:bookmarkStart w:id="20" w:name="_Toc40893488"/>
      <w:bookmarkStart w:id="21" w:name="_Toc531790523"/>
      <w:bookmarkStart w:id="22" w:name="_Toc46309854"/>
      <w:bookmarkStart w:id="23" w:name="_Toc21440425"/>
      <w:bookmarkStart w:id="24" w:name="_Toc40794980"/>
      <w:bookmarkStart w:id="25" w:name="_Toc26532406"/>
      <w:bookmarkStart w:id="26" w:name="_Toc40893492"/>
      <w:bookmarkStart w:id="27" w:name="_Toc492547120"/>
      <w:r>
        <w:rPr>
          <w:rFonts w:hint="eastAsia" w:ascii="宋体" w:hAnsi="宋体" w:eastAsia="宋体" w:cs="宋体"/>
          <w:color w:val="000000" w:themeColor="text1"/>
          <w:sz w:val="24"/>
          <w:szCs w:val="24"/>
          <w:lang w:val="zh-TW" w:eastAsia="zh-TW"/>
          <w14:textFill>
            <w14:solidFill>
              <w14:schemeClr w14:val="tx1"/>
            </w14:solidFill>
          </w14:textFill>
        </w:rPr>
        <w:t>等级测评要求</w:t>
      </w:r>
      <w:bookmarkEnd w:id="18"/>
      <w:bookmarkEnd w:id="19"/>
      <w:bookmarkEnd w:id="20"/>
    </w:p>
    <w:p w14:paraId="3C27F0E3">
      <w:pPr>
        <w:pStyle w:val="33"/>
        <w:spacing w:line="360" w:lineRule="auto"/>
        <w:ind w:firstLine="480" w:firstLineChars="20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项目总体管理和技术要求：总体要求与《信息安全等级保护管理办法》（公通字[2007]43号）、《信息安全技术</w:t>
      </w:r>
      <w:r>
        <w:rPr>
          <w:rFonts w:ascii="宋体" w:hAnsi="宋体" w:eastAsia="宋体" w:cs="宋体"/>
          <w:color w:val="000000" w:themeColor="text1"/>
          <w:sz w:val="24"/>
          <w:szCs w:val="24"/>
          <w:lang w:val="zh-TW"/>
          <w14:textFill>
            <w14:solidFill>
              <w14:schemeClr w14:val="tx1"/>
            </w14:solidFill>
          </w14:textFill>
        </w:rPr>
        <w:t xml:space="preserve"> 网络</w:t>
      </w:r>
      <w:r>
        <w:rPr>
          <w:rFonts w:ascii="宋体" w:hAnsi="宋体" w:eastAsia="宋体" w:cs="宋体"/>
          <w:color w:val="000000" w:themeColor="text1"/>
          <w:sz w:val="24"/>
          <w:szCs w:val="24"/>
          <w:lang w:val="zh-TW" w:eastAsia="zh-TW"/>
          <w14:textFill>
            <w14:solidFill>
              <w14:schemeClr w14:val="tx1"/>
            </w14:solidFill>
          </w14:textFill>
        </w:rPr>
        <w:t>安全等级保护实施指南》（GBT 25058-2019）和《信息安全等级保护安全建设整改工作指导意见》（公信安[2009]1429号）等网络安全等级保护系列文件要求保持一致，开展网络安全等级测评工作。具体网络安全技术标准以文件相应部分提及的为准。</w:t>
      </w:r>
    </w:p>
    <w:p w14:paraId="63510F34">
      <w:pPr>
        <w:pStyle w:val="33"/>
        <w:spacing w:line="360" w:lineRule="auto"/>
        <w:ind w:firstLine="482"/>
        <w:rPr>
          <w:rFonts w:hint="default"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1</w:t>
      </w:r>
      <w:r>
        <w:rPr>
          <w:rFonts w:ascii="宋体" w:hAnsi="宋体" w:eastAsia="宋体" w:cs="宋体"/>
          <w:b/>
          <w:bCs/>
          <w:color w:val="000000" w:themeColor="text1"/>
          <w:sz w:val="24"/>
          <w:szCs w:val="24"/>
          <w:lang w:val="zh-TW" w:eastAsia="zh-TW"/>
          <w14:textFill>
            <w14:solidFill>
              <w14:schemeClr w14:val="tx1"/>
            </w14:solidFill>
          </w14:textFill>
        </w:rPr>
        <w:t>）项目内容</w:t>
      </w:r>
    </w:p>
    <w:p w14:paraId="37C11675">
      <w:pPr>
        <w:pStyle w:val="33"/>
        <w:spacing w:line="360" w:lineRule="auto"/>
        <w:ind w:firstLine="48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本项目</w:t>
      </w:r>
      <w:r>
        <w:rPr>
          <w:rFonts w:ascii="宋体" w:hAnsi="宋体" w:eastAsia="宋体" w:cs="宋体"/>
          <w:b/>
          <w:bCs/>
          <w:color w:val="000000" w:themeColor="text1"/>
          <w:sz w:val="24"/>
          <w:szCs w:val="24"/>
          <w:lang w:val="zh-TW" w:eastAsia="zh-TW"/>
          <w14:textFill>
            <w14:solidFill>
              <w14:schemeClr w14:val="tx1"/>
            </w14:solidFill>
          </w14:textFill>
        </w:rPr>
        <w:t>按照网络安全等级保护2.0</w:t>
      </w:r>
      <w:r>
        <w:rPr>
          <w:rFonts w:ascii="宋体" w:hAnsi="宋体" w:eastAsia="宋体" w:cs="宋体"/>
          <w:color w:val="000000" w:themeColor="text1"/>
          <w:sz w:val="24"/>
          <w:szCs w:val="24"/>
          <w:lang w:val="zh-TW" w:eastAsia="zh-TW"/>
          <w14:textFill>
            <w14:solidFill>
              <w14:schemeClr w14:val="tx1"/>
            </w14:solidFill>
          </w14:textFill>
        </w:rPr>
        <w:t>测评标准进行安全等级测评。具体项目测评内容如下：</w:t>
      </w:r>
    </w:p>
    <w:p w14:paraId="058754CF">
      <w:pPr>
        <w:pStyle w:val="33"/>
        <w:spacing w:line="360" w:lineRule="auto"/>
        <w:ind w:firstLine="48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安全技术测评：包括安全物理环境、安全通信网络、安全区域边界、安全计算环境和安全管理中心等五个方面的安全测评。</w:t>
      </w:r>
    </w:p>
    <w:p w14:paraId="33CD358F">
      <w:pPr>
        <w:pStyle w:val="33"/>
        <w:spacing w:line="360" w:lineRule="auto"/>
        <w:ind w:firstLine="48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安全管理测评：安全管理机构、安全管理制度、安全管理人员、安全建设管理和</w:t>
      </w:r>
      <w:r>
        <w:rPr>
          <w:rFonts w:ascii="宋体" w:hAnsi="宋体" w:eastAsia="宋体" w:cs="宋体"/>
          <w:color w:val="000000" w:themeColor="text1"/>
          <w:sz w:val="24"/>
          <w:szCs w:val="24"/>
          <w:lang w:val="zh-TW"/>
          <w14:textFill>
            <w14:solidFill>
              <w14:schemeClr w14:val="tx1"/>
            </w14:solidFill>
          </w14:textFill>
        </w:rPr>
        <w:t>安全</w:t>
      </w:r>
      <w:r>
        <w:rPr>
          <w:rFonts w:ascii="宋体" w:hAnsi="宋体" w:eastAsia="宋体" w:cs="宋体"/>
          <w:color w:val="000000" w:themeColor="text1"/>
          <w:sz w:val="24"/>
          <w:szCs w:val="24"/>
          <w:lang w:val="zh-TW" w:eastAsia="zh-TW"/>
          <w14:textFill>
            <w14:solidFill>
              <w14:schemeClr w14:val="tx1"/>
            </w14:solidFill>
          </w14:textFill>
        </w:rPr>
        <w:t>运维管理等五个方面的安全控制测评。</w:t>
      </w:r>
    </w:p>
    <w:p w14:paraId="628C76CE">
      <w:pPr>
        <w:pStyle w:val="33"/>
        <w:spacing w:line="360" w:lineRule="auto"/>
        <w:ind w:firstLine="482"/>
        <w:rPr>
          <w:rFonts w:hint="default"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2</w:t>
      </w:r>
      <w:r>
        <w:rPr>
          <w:rFonts w:ascii="宋体" w:hAnsi="宋体" w:eastAsia="宋体" w:cs="宋体"/>
          <w:b/>
          <w:bCs/>
          <w:color w:val="000000" w:themeColor="text1"/>
          <w:sz w:val="24"/>
          <w:szCs w:val="24"/>
          <w:lang w:val="zh-TW" w:eastAsia="zh-TW"/>
          <w14:textFill>
            <w14:solidFill>
              <w14:schemeClr w14:val="tx1"/>
            </w14:solidFill>
          </w14:textFill>
        </w:rPr>
        <w:t>）具体要求</w:t>
      </w:r>
    </w:p>
    <w:p w14:paraId="41B69E18">
      <w:pPr>
        <w:pStyle w:val="33"/>
        <w:spacing w:line="360" w:lineRule="auto"/>
        <w:ind w:firstLine="48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在安全等级测评过程中，每个工作阶段、流程、内容、及成果交付严格遵循《信息安全技术 网络安全等级保护测评要求》和《信息安全技术 网络安全等级保护测评过程指南》文件，根据本项目信息系统已完成的定级备案安全等级，开展相应级别的安全等级测评工作，根据测评结果出具相应的单项和整体测评报告，测评报告需得到项目单位的确认，并报送网安部门。测评报告编制的内容及格式严格遵照《网络安全等级保护测评报告模版（</w:t>
      </w:r>
      <w:r>
        <w:rPr>
          <w:rFonts w:ascii="宋体" w:hAnsi="宋体" w:eastAsia="宋体" w:cs="宋体"/>
          <w:color w:val="000000" w:themeColor="text1"/>
          <w:sz w:val="24"/>
          <w:szCs w:val="24"/>
          <w14:textFill>
            <w14:solidFill>
              <w14:schemeClr w14:val="tx1"/>
            </w14:solidFill>
          </w14:textFill>
        </w:rPr>
        <w:t>现行</w:t>
      </w:r>
      <w:r>
        <w:rPr>
          <w:rFonts w:ascii="宋体" w:hAnsi="宋体" w:eastAsia="宋体" w:cs="宋体"/>
          <w:color w:val="000000" w:themeColor="text1"/>
          <w:sz w:val="24"/>
          <w:szCs w:val="24"/>
          <w:lang w:val="zh-TW" w:eastAsia="zh-TW"/>
          <w14:textFill>
            <w14:solidFill>
              <w14:schemeClr w14:val="tx1"/>
            </w14:solidFill>
          </w14:textFill>
        </w:rPr>
        <w:t>版）》进行。</w:t>
      </w:r>
    </w:p>
    <w:p w14:paraId="15DBCFB8">
      <w:pPr>
        <w:pStyle w:val="33"/>
        <w:spacing w:line="360" w:lineRule="auto"/>
        <w:ind w:firstLine="480"/>
        <w:rPr>
          <w:rFonts w:hint="default" w:ascii="宋体" w:hAnsi="宋体" w:eastAsia="宋体" w:cs="宋体"/>
          <w:color w:val="000000" w:themeColor="text1"/>
          <w:sz w:val="24"/>
          <w:szCs w:val="24"/>
          <w:lang w:eastAsia="zh-TW"/>
          <w14:textFill>
            <w14:solidFill>
              <w14:schemeClr w14:val="tx1"/>
            </w14:solidFill>
          </w14:textFill>
        </w:rPr>
      </w:pPr>
      <w:bookmarkStart w:id="28" w:name="_Hlk26709190"/>
      <w:r>
        <w:rPr>
          <w:rFonts w:ascii="宋体" w:hAnsi="宋体" w:eastAsia="宋体" w:cs="宋体"/>
          <w:color w:val="000000" w:themeColor="text1"/>
          <w:sz w:val="24"/>
          <w:szCs w:val="24"/>
          <w:lang w:val="zh-TW" w:eastAsia="zh-TW"/>
          <w14:textFill>
            <w14:solidFill>
              <w14:schemeClr w14:val="tx1"/>
            </w14:solidFill>
          </w14:textFill>
        </w:rPr>
        <w:t>测评技术团队符合《网络安全等级保护测评机构管理办法》对测评机构和测评人员管理的要求，项目负责人由公安部培训考核认证通过的网络安全高级等级测评师承担，</w:t>
      </w:r>
      <w:r>
        <w:rPr>
          <w:rFonts w:ascii="宋体" w:hAnsi="宋体" w:eastAsia="宋体" w:cs="宋体"/>
          <w:color w:val="000000" w:themeColor="text1"/>
          <w:sz w:val="24"/>
          <w:szCs w:val="24"/>
          <w:lang w:val="zh-TW"/>
          <w14:textFill>
            <w14:solidFill>
              <w14:schemeClr w14:val="tx1"/>
            </w14:solidFill>
          </w14:textFill>
        </w:rPr>
        <w:t>通过信息安全专业认证、</w:t>
      </w:r>
      <w:bookmarkStart w:id="29" w:name="_Hlk41214574"/>
      <w:r>
        <w:rPr>
          <w:rFonts w:ascii="宋体" w:hAnsi="宋体" w:eastAsia="宋体" w:cs="宋体"/>
          <w:color w:val="000000" w:themeColor="text1"/>
          <w:sz w:val="24"/>
          <w:szCs w:val="24"/>
          <w:lang w:val="zh-TW"/>
          <w14:textFill>
            <w14:solidFill>
              <w14:schemeClr w14:val="tx1"/>
            </w14:solidFill>
          </w14:textFill>
        </w:rPr>
        <w:t>具备良好的教育背景</w:t>
      </w:r>
      <w:bookmarkEnd w:id="29"/>
      <w:r>
        <w:rPr>
          <w:rFonts w:ascii="宋体" w:hAnsi="宋体" w:eastAsia="宋体" w:cs="宋体"/>
          <w:color w:val="000000" w:themeColor="text1"/>
          <w:sz w:val="24"/>
          <w:szCs w:val="24"/>
          <w:lang w:val="zh-TW"/>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受过专业的技术培训、</w:t>
      </w:r>
      <w:r>
        <w:rPr>
          <w:rFonts w:ascii="宋体" w:hAnsi="宋体" w:eastAsia="宋体" w:cs="宋体"/>
          <w:color w:val="000000" w:themeColor="text1"/>
          <w:sz w:val="24"/>
          <w:szCs w:val="24"/>
          <w:lang w:val="zh-TW"/>
          <w14:textFill>
            <w14:solidFill>
              <w14:schemeClr w14:val="tx1"/>
            </w14:solidFill>
          </w14:textFill>
        </w:rPr>
        <w:t>拥有丰富的财政系统</w:t>
      </w:r>
      <w:r>
        <w:rPr>
          <w:rFonts w:ascii="宋体" w:hAnsi="宋体" w:eastAsia="宋体" w:cs="宋体"/>
          <w:color w:val="000000" w:themeColor="text1"/>
          <w:sz w:val="24"/>
          <w:szCs w:val="24"/>
          <w:lang w:val="zh-TW" w:eastAsia="zh-TW"/>
          <w14:textFill>
            <w14:solidFill>
              <w14:schemeClr w14:val="tx1"/>
            </w14:solidFill>
          </w14:textFill>
        </w:rPr>
        <w:t>网络安全等级测评安全工作经验，对网络安全等级测评过程中可能会面临的各类技术问题及时提供解决方案。</w:t>
      </w:r>
      <w:bookmarkEnd w:id="28"/>
    </w:p>
    <w:p w14:paraId="2CBC86E2">
      <w:pPr>
        <w:pStyle w:val="33"/>
        <w:spacing w:line="360" w:lineRule="auto"/>
        <w:ind w:firstLine="482"/>
        <w:rPr>
          <w:rFonts w:hint="default"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3</w:t>
      </w:r>
      <w:r>
        <w:rPr>
          <w:rFonts w:ascii="宋体" w:hAnsi="宋体" w:eastAsia="宋体" w:cs="宋体"/>
          <w:b/>
          <w:bCs/>
          <w:color w:val="000000" w:themeColor="text1"/>
          <w:sz w:val="24"/>
          <w:szCs w:val="24"/>
          <w:lang w:val="zh-TW" w:eastAsia="zh-TW"/>
          <w14:textFill>
            <w14:solidFill>
              <w14:schemeClr w14:val="tx1"/>
            </w14:solidFill>
          </w14:textFill>
        </w:rPr>
        <w:t>）项目交付成果</w:t>
      </w:r>
    </w:p>
    <w:p w14:paraId="578F590D">
      <w:pPr>
        <w:pStyle w:val="33"/>
        <w:spacing w:line="360" w:lineRule="auto"/>
        <w:ind w:firstLine="480" w:firstLineChars="200"/>
        <w:rPr>
          <w:rFonts w:hint="default" w:ascii="宋体" w:hAnsi="宋体" w:eastAsia="宋体" w:cs="宋体"/>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项目阶段各阶段的测评过程文档（参照《信息安全技术 网络安全等级保护测评过程指南》）编制。详见下表（包括但不限于）</w:t>
      </w:r>
    </w:p>
    <w:tbl>
      <w:tblPr>
        <w:tblStyle w:val="1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3700"/>
        <w:gridCol w:w="4822"/>
      </w:tblGrid>
      <w:tr w14:paraId="2DFB9E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30" w:hRule="atLeast"/>
          <w:tblHeader/>
          <w:jc w:val="center"/>
        </w:trPr>
        <w:tc>
          <w:tcPr>
            <w:tcW w:w="3700"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vAlign w:val="center"/>
          </w:tcPr>
          <w:p w14:paraId="31583678">
            <w:pPr>
              <w:pStyle w:val="33"/>
              <w:spacing w:before="40" w:after="40"/>
              <w:ind w:firstLine="482"/>
              <w:jc w:val="center"/>
              <w:rPr>
                <w:rFonts w:hint="default"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lang w:val="zh-TW" w:eastAsia="zh-TW"/>
                <w14:textFill>
                  <w14:solidFill>
                    <w14:schemeClr w14:val="tx1"/>
                  </w14:solidFill>
                </w14:textFill>
              </w:rPr>
              <w:t>项目阶段</w:t>
            </w:r>
          </w:p>
        </w:tc>
        <w:tc>
          <w:tcPr>
            <w:tcW w:w="482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02E5EE8">
            <w:pPr>
              <w:pStyle w:val="33"/>
              <w:spacing w:before="40" w:after="40"/>
              <w:ind w:firstLine="482"/>
              <w:jc w:val="center"/>
              <w:rPr>
                <w:rFonts w:hint="default"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lang w:val="zh-TW" w:eastAsia="zh-TW"/>
                <w14:textFill>
                  <w14:solidFill>
                    <w14:schemeClr w14:val="tx1"/>
                  </w14:solidFill>
                </w14:textFill>
              </w:rPr>
              <w:t>交付成果</w:t>
            </w:r>
          </w:p>
        </w:tc>
      </w:tr>
      <w:tr w14:paraId="6C20B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90" w:hRule="atLeast"/>
          <w:jc w:val="center"/>
        </w:trPr>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9CBFC">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测评准备活动</w:t>
            </w:r>
          </w:p>
        </w:tc>
        <w:tc>
          <w:tcPr>
            <w:tcW w:w="4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5D37">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项目计划书</w:t>
            </w:r>
          </w:p>
          <w:p w14:paraId="0BEBB238">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被测系统基本情况分析报告</w:t>
            </w:r>
          </w:p>
        </w:tc>
      </w:tr>
      <w:tr w14:paraId="466129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90" w:hRule="atLeast"/>
          <w:jc w:val="center"/>
        </w:trPr>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9BD3C4">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方案编制活动</w:t>
            </w:r>
          </w:p>
        </w:tc>
        <w:tc>
          <w:tcPr>
            <w:tcW w:w="4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D1A7">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测评指导书</w:t>
            </w:r>
          </w:p>
          <w:p w14:paraId="5BD2F07F">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信息系统安全测评方案</w:t>
            </w:r>
          </w:p>
        </w:tc>
      </w:tr>
      <w:tr w14:paraId="7E996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90" w:hRule="atLeast"/>
          <w:jc w:val="center"/>
        </w:trPr>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7CCA1">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现场测评活动</w:t>
            </w:r>
          </w:p>
        </w:tc>
        <w:tc>
          <w:tcPr>
            <w:tcW w:w="4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F19D">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测评结果记录</w:t>
            </w:r>
          </w:p>
          <w:p w14:paraId="275EE58F">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测评中发现的问题汇总</w:t>
            </w:r>
          </w:p>
        </w:tc>
      </w:tr>
      <w:tr w14:paraId="1CD840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70" w:hRule="atLeast"/>
          <w:jc w:val="center"/>
        </w:trPr>
        <w:tc>
          <w:tcPr>
            <w:tcW w:w="3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3C7E2">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分析与报告编制活动</w:t>
            </w:r>
          </w:p>
        </w:tc>
        <w:tc>
          <w:tcPr>
            <w:tcW w:w="4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A9E">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单项测评结果汇总分析</w:t>
            </w:r>
          </w:p>
          <w:p w14:paraId="42D2005B">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整体测评结果汇总分析</w:t>
            </w:r>
          </w:p>
          <w:p w14:paraId="0D647E8D">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风险分析和评估</w:t>
            </w:r>
          </w:p>
          <w:p w14:paraId="63579261">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等级测评结论</w:t>
            </w:r>
          </w:p>
          <w:p w14:paraId="3197850E">
            <w:pPr>
              <w:pStyle w:val="33"/>
              <w:spacing w:before="40" w:after="40"/>
              <w:ind w:firstLine="48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信息系统安全等级测评报告</w:t>
            </w:r>
          </w:p>
        </w:tc>
      </w:tr>
      <w:bookmarkEnd w:id="21"/>
      <w:bookmarkEnd w:id="22"/>
      <w:bookmarkEnd w:id="23"/>
      <w:bookmarkEnd w:id="24"/>
      <w:bookmarkEnd w:id="25"/>
      <w:bookmarkEnd w:id="26"/>
      <w:bookmarkEnd w:id="27"/>
    </w:tbl>
    <w:p w14:paraId="7BDE38B3">
      <w:pPr>
        <w:pStyle w:val="5"/>
        <w:numPr>
          <w:ilvl w:val="0"/>
          <w:numId w:val="4"/>
        </w:numPr>
        <w:spacing w:before="260" w:after="260" w:line="413" w:lineRule="auto"/>
        <w:rPr>
          <w:rFonts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lang w:val="zh-TW"/>
          <w14:textFill>
            <w14:solidFill>
              <w14:schemeClr w14:val="tx1"/>
            </w14:solidFill>
          </w14:textFill>
        </w:rPr>
        <w:t>安全服务要求</w:t>
      </w:r>
    </w:p>
    <w:p w14:paraId="17321534">
      <w:pPr>
        <w:pStyle w:val="33"/>
        <w:spacing w:line="360" w:lineRule="auto"/>
        <w:ind w:firstLine="480"/>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pPr>
      <w:r>
        <w:rPr>
          <w:rFonts w:cs="宋体" w:asciiTheme="minorEastAsia" w:hAnsiTheme="minorEastAsia" w:eastAsiaTheme="minorEastAsia"/>
          <w:color w:val="000000" w:themeColor="text1"/>
          <w:sz w:val="24"/>
          <w:szCs w:val="24"/>
          <w:lang w:val="zh-TW" w:eastAsia="zh-TW"/>
          <w14:textFill>
            <w14:solidFill>
              <w14:schemeClr w14:val="tx1"/>
            </w14:solidFill>
          </w14:textFill>
        </w:rPr>
        <w:t>利用审计手段</w:t>
      </w:r>
      <w:r>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t>对驻马店市财政局信息系统的网络活动、设备配置、用户行为、数据访问等进行全周期记录、监测、分析与溯源，满足合规、风险管控与事件可追溯。对驻马店市财政局信息系统进行渗透测试，基于等保测评规范要求，针对系统建设给出专业的网络安全建议，并由渗透测试人员通过模拟恶意黑客的攻击方式，利用技术手段进行测试，发现和挖掘系统中存在的漏洞，协助驻马店市财政局及时予以修正，避免系统遭受恶意黑客的攻击威胁。</w:t>
      </w:r>
    </w:p>
    <w:p w14:paraId="13F91703">
      <w:pPr>
        <w:pStyle w:val="5"/>
        <w:numPr>
          <w:ilvl w:val="0"/>
          <w:numId w:val="4"/>
        </w:numPr>
        <w:rPr>
          <w:rFonts w:ascii="宋体" w:hAnsi="宋体" w:eastAsia="宋体" w:cs="宋体"/>
          <w:color w:val="000000" w:themeColor="text1"/>
          <w:sz w:val="24"/>
          <w:szCs w:val="24"/>
          <w:lang w:val="zh-TW" w:eastAsia="zh-TW"/>
          <w14:textFill>
            <w14:solidFill>
              <w14:schemeClr w14:val="tx1"/>
            </w14:solidFill>
          </w14:textFill>
        </w:rPr>
      </w:pPr>
      <w:bookmarkStart w:id="30" w:name="_Toc46309855"/>
      <w:r>
        <w:rPr>
          <w:rFonts w:hint="eastAsia" w:ascii="宋体" w:hAnsi="宋体" w:eastAsia="宋体" w:cs="宋体"/>
          <w:color w:val="000000" w:themeColor="text1"/>
          <w:sz w:val="24"/>
          <w:szCs w:val="24"/>
          <w:lang w:val="zh-TW" w:eastAsia="zh-TW"/>
          <w14:textFill>
            <w14:solidFill>
              <w14:schemeClr w14:val="tx1"/>
            </w14:solidFill>
          </w14:textFill>
        </w:rPr>
        <w:t>应急响应要求</w:t>
      </w:r>
      <w:bookmarkEnd w:id="30"/>
    </w:p>
    <w:p w14:paraId="55F480E4">
      <w:pPr>
        <w:spacing w:line="360" w:lineRule="auto"/>
        <w:ind w:firstLine="480"/>
        <w:rPr>
          <w:rFonts w:ascii="宋体" w:hAnsi="宋体" w:cs="宋体"/>
          <w:color w:val="000000" w:themeColor="text1"/>
          <w:sz w:val="24"/>
          <w:szCs w:val="24"/>
          <w:lang w:val="zh-TW"/>
          <w14:textFill>
            <w14:solidFill>
              <w14:schemeClr w14:val="tx1"/>
            </w14:solidFill>
          </w14:textFill>
        </w:rPr>
      </w:pPr>
      <w:r>
        <w:rPr>
          <w:rFonts w:hint="eastAsia" w:ascii="宋体" w:hAnsi="宋体" w:cs="宋体"/>
          <w:color w:val="000000" w:themeColor="text1"/>
          <w:sz w:val="24"/>
          <w:szCs w:val="24"/>
          <w:lang w:val="zh-TW" w:eastAsia="zh-TW"/>
          <w14:textFill>
            <w14:solidFill>
              <w14:schemeClr w14:val="tx1"/>
            </w14:solidFill>
          </w14:textFill>
        </w:rPr>
        <w:t>为驻马店市财政局建立安全应急预案，遇到重大安全事件如网络入侵、大规模病毒爆发、遭受拒绝服务攻击等突发事件时，提供专业技术人员以7*24小时远程、电话、邮件及现场等方式提供应急响应支持</w:t>
      </w:r>
      <w:r>
        <w:rPr>
          <w:rFonts w:hint="eastAsia" w:ascii="宋体" w:hAnsi="宋体" w:cs="宋体"/>
          <w:color w:val="000000" w:themeColor="text1"/>
          <w:sz w:val="24"/>
          <w:szCs w:val="24"/>
          <w:lang w:eastAsia="zh-Hans"/>
          <w14:textFill>
            <w14:solidFill>
              <w14:schemeClr w14:val="tx1"/>
            </w14:solidFill>
          </w14:textFill>
        </w:rPr>
        <w:t>，且</w:t>
      </w:r>
      <w:r>
        <w:rPr>
          <w:rFonts w:hint="eastAsia" w:ascii="宋体" w:hAnsi="宋体" w:cs="宋体"/>
          <w:color w:val="000000" w:themeColor="text1"/>
          <w:sz w:val="24"/>
          <w:szCs w:val="24"/>
          <w:lang w:val="zh-TW" w:eastAsia="zh-TW"/>
          <w14:textFill>
            <w14:solidFill>
              <w14:schemeClr w14:val="tx1"/>
            </w14:solidFill>
          </w14:textFill>
        </w:rPr>
        <w:t>快速恢复系统的保密性、完整性和可用性，确定安全威胁的破坏严重程度，阻止和降低安全威胁带来的影响，分析原因并提供相应的解决方案</w:t>
      </w:r>
      <w:r>
        <w:rPr>
          <w:rFonts w:hint="eastAsia" w:ascii="宋体" w:hAnsi="宋体" w:cs="宋体"/>
          <w:color w:val="000000" w:themeColor="text1"/>
          <w:sz w:val="24"/>
          <w:szCs w:val="24"/>
          <w:lang w:val="zh-TW"/>
          <w14:textFill>
            <w14:solidFill>
              <w14:schemeClr w14:val="tx1"/>
            </w14:solidFill>
          </w14:textFill>
        </w:rPr>
        <w:t>。</w:t>
      </w:r>
    </w:p>
    <w:p w14:paraId="0201399D">
      <w:pPr>
        <w:pStyle w:val="5"/>
        <w:numPr>
          <w:ilvl w:val="0"/>
          <w:numId w:val="4"/>
        </w:numPr>
        <w:rPr>
          <w:rFonts w:ascii="宋体" w:hAnsi="宋体" w:eastAsia="宋体" w:cs="宋体"/>
          <w:color w:val="000000" w:themeColor="text1"/>
          <w:sz w:val="24"/>
          <w:szCs w:val="24"/>
          <w:lang w:val="zh-TW" w:eastAsia="zh-TW"/>
          <w14:textFill>
            <w14:solidFill>
              <w14:schemeClr w14:val="tx1"/>
            </w14:solidFill>
          </w14:textFill>
        </w:rPr>
      </w:pPr>
      <w:r>
        <w:rPr>
          <w:rFonts w:hint="eastAsia" w:ascii="宋体" w:hAnsi="宋体" w:eastAsia="宋体" w:cs="宋体"/>
          <w:color w:val="000000" w:themeColor="text1"/>
          <w:sz w:val="24"/>
          <w:szCs w:val="24"/>
          <w:lang w:val="zh-TW" w:eastAsia="zh-TW"/>
          <w14:textFill>
            <w14:solidFill>
              <w14:schemeClr w14:val="tx1"/>
            </w14:solidFill>
          </w14:textFill>
        </w:rPr>
        <w:t>安全培训要求</w:t>
      </w:r>
    </w:p>
    <w:p w14:paraId="29DB6362">
      <w:pPr>
        <w:pStyle w:val="39"/>
        <w:spacing w:line="360" w:lineRule="auto"/>
        <w:ind w:firstLine="480"/>
        <w:rPr>
          <w:rFonts w:hint="eastAsia" w:ascii="宋体" w:hAnsi="宋体" w:cs="宋体"/>
          <w:color w:val="000000" w:themeColor="text1"/>
          <w:sz w:val="24"/>
          <w:szCs w:val="24"/>
          <w:lang w:val="zh-TW"/>
          <w14:textFill>
            <w14:solidFill>
              <w14:schemeClr w14:val="tx1"/>
            </w14:solidFill>
          </w14:textFill>
        </w:rPr>
      </w:pPr>
      <w:r>
        <w:rPr>
          <w:rFonts w:hint="eastAsia" w:ascii="宋体" w:hAnsi="宋体" w:cs="宋体"/>
          <w:color w:val="000000" w:themeColor="text1"/>
          <w:sz w:val="24"/>
          <w:szCs w:val="24"/>
          <w:lang w:val="zh-TW"/>
          <w14:textFill>
            <w14:solidFill>
              <w14:schemeClr w14:val="tx1"/>
            </w14:solidFill>
          </w14:textFill>
        </w:rPr>
        <w:t>在网络安全知识体系的基础之上关注降低风险的对策。针对常见的网络攻防技术手段，组织动手实践，让培训对象深刻理解网络攻防的基本理论，掌握常用的网络攻防技术手段和工具软件，具备处理常规安全事件的能力。</w:t>
      </w:r>
      <w:bookmarkStart w:id="31" w:name="_Hlk26705526"/>
      <w:bookmarkStart w:id="32" w:name="_Toc46309852"/>
      <w:bookmarkStart w:id="33" w:name="_Hlk45790487"/>
      <w:bookmarkStart w:id="34" w:name="_Toc40794978"/>
      <w:bookmarkStart w:id="35" w:name="_Toc26532404"/>
      <w:bookmarkStart w:id="36" w:name="_Toc21440423"/>
      <w:bookmarkStart w:id="37" w:name="_Toc40893490"/>
    </w:p>
    <w:bookmarkEnd w:id="31"/>
    <w:p w14:paraId="2E627D4F">
      <w:pPr>
        <w:pStyle w:val="3"/>
        <w:numPr>
          <w:ilvl w:val="1"/>
          <w:numId w:val="2"/>
        </w:numPr>
        <w:rPr>
          <w:rFonts w:ascii="宋体" w:hAnsi="宋体" w:cs="宋体"/>
          <w:b/>
          <w:bCs/>
          <w:szCs w:val="24"/>
        </w:rPr>
      </w:pPr>
      <w:r>
        <w:rPr>
          <w:rFonts w:hint="eastAsia" w:ascii="宋体" w:hAnsi="宋体" w:cs="宋体"/>
          <w:b/>
          <w:bCs/>
          <w:szCs w:val="24"/>
        </w:rPr>
        <w:t>整改建议要求</w:t>
      </w:r>
    </w:p>
    <w:p w14:paraId="136E1B0A">
      <w:pPr>
        <w:pStyle w:val="33"/>
        <w:spacing w:line="36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）具体要求</w:t>
      </w:r>
    </w:p>
    <w:p w14:paraId="02101239">
      <w:pPr>
        <w:pStyle w:val="33"/>
        <w:spacing w:line="360" w:lineRule="auto"/>
        <w:ind w:firstLine="480"/>
        <w:rPr>
          <w:rFonts w:hint="default" w:ascii="宋体" w:hAnsi="宋体" w:eastAsia="宋体" w:cs="宋体"/>
          <w:sz w:val="24"/>
          <w:szCs w:val="24"/>
        </w:rPr>
      </w:pPr>
      <w:r>
        <w:rPr>
          <w:rFonts w:ascii="宋体" w:hAnsi="宋体" w:eastAsia="宋体" w:cs="宋体"/>
          <w:sz w:val="24"/>
          <w:szCs w:val="24"/>
          <w:lang w:val="zh-TW" w:eastAsia="zh-TW"/>
        </w:rPr>
        <w:t>依照《信息安全等级保护安全建设整改工作指导意见》（公信安</w:t>
      </w:r>
      <w:r>
        <w:rPr>
          <w:rFonts w:ascii="宋体" w:hAnsi="宋体" w:eastAsia="宋体" w:cs="宋体"/>
          <w:sz w:val="24"/>
          <w:szCs w:val="24"/>
        </w:rPr>
        <w:t>[2009]1429</w:t>
      </w:r>
      <w:r>
        <w:rPr>
          <w:rFonts w:ascii="宋体" w:hAnsi="宋体" w:eastAsia="宋体" w:cs="宋体"/>
          <w:sz w:val="24"/>
          <w:szCs w:val="24"/>
          <w:lang w:val="zh-TW" w:eastAsia="zh-TW"/>
        </w:rPr>
        <w:t>号），严格遵循《信息安全等级保护安全建设整改工作指南》各项要求，在系统测评工作的基础上，对信息系统总体信息安全管理和技术方面现状进行全面的分析，制订网络安全等级保护安全建设整改方案，方案内容包含但不限于：网络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w:t>
      </w:r>
    </w:p>
    <w:p w14:paraId="3D97C20A">
      <w:pPr>
        <w:pStyle w:val="33"/>
        <w:spacing w:line="360" w:lineRule="auto"/>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）工作过程文件及项目交付成果（包括但不限于）</w:t>
      </w:r>
    </w:p>
    <w:p w14:paraId="01FBCF5B">
      <w:pPr>
        <w:pStyle w:val="33"/>
        <w:spacing w:line="360" w:lineRule="auto"/>
        <w:ind w:firstLine="480"/>
        <w:rPr>
          <w:rFonts w:hint="default" w:ascii="宋体" w:hAnsi="宋体" w:eastAsia="宋体" w:cs="宋体"/>
          <w:sz w:val="24"/>
          <w:szCs w:val="24"/>
          <w:lang w:val="zh-TW" w:eastAsia="zh-TW"/>
        </w:rPr>
      </w:pPr>
      <w:r>
        <w:rPr>
          <w:rFonts w:ascii="宋体" w:hAnsi="宋体" w:eastAsia="宋体" w:cs="宋体"/>
          <w:sz w:val="24"/>
          <w:szCs w:val="24"/>
          <w:lang w:val="zh-TW" w:eastAsia="zh-TW"/>
        </w:rPr>
        <w:t>安全等级测评整改技术方案，方案可根据整改和规划内容的重要性和复杂程度采用分册方式编写。</w:t>
      </w:r>
    </w:p>
    <w:p w14:paraId="344E98BF">
      <w:pPr>
        <w:pStyle w:val="33"/>
        <w:spacing w:line="360" w:lineRule="auto"/>
        <w:ind w:firstLine="480"/>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eastAsia="zh-TW"/>
        </w:rPr>
        <w:t>）提交要求</w:t>
      </w:r>
    </w:p>
    <w:p w14:paraId="4646A431">
      <w:pPr>
        <w:pStyle w:val="33"/>
        <w:spacing w:line="360" w:lineRule="auto"/>
        <w:ind w:firstLine="480"/>
        <w:rPr>
          <w:rFonts w:hint="default" w:ascii="宋体" w:hAnsi="宋体" w:eastAsia="宋体" w:cs="宋体"/>
          <w:sz w:val="24"/>
          <w:szCs w:val="24"/>
          <w:lang w:val="zh-TW" w:eastAsia="zh-TW"/>
        </w:rPr>
      </w:pPr>
      <w:r>
        <w:rPr>
          <w:rFonts w:ascii="宋体" w:hAnsi="宋体" w:eastAsia="宋体" w:cs="宋体"/>
          <w:sz w:val="24"/>
          <w:szCs w:val="24"/>
          <w:lang w:val="zh-TW" w:eastAsia="zh-TW"/>
        </w:rPr>
        <w:t>需包含如下内容：</w:t>
      </w:r>
    </w:p>
    <w:tbl>
      <w:tblPr>
        <w:tblStyle w:val="1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122"/>
        <w:gridCol w:w="5400"/>
      </w:tblGrid>
      <w:tr w14:paraId="3B647A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BFBFBF"/>
            <w:tcMar>
              <w:top w:w="80" w:type="dxa"/>
              <w:left w:w="80" w:type="dxa"/>
              <w:bottom w:w="80" w:type="dxa"/>
              <w:right w:w="80" w:type="dxa"/>
            </w:tcMar>
          </w:tcPr>
          <w:p w14:paraId="1F15BD40">
            <w:pPr>
              <w:pStyle w:val="33"/>
              <w:spacing w:before="40" w:after="40"/>
              <w:jc w:val="center"/>
              <w:rPr>
                <w:rFonts w:hint="default" w:ascii="宋体" w:hAnsi="宋体" w:eastAsia="宋体" w:cs="宋体"/>
                <w:sz w:val="24"/>
                <w:szCs w:val="24"/>
              </w:rPr>
            </w:pPr>
            <w:r>
              <w:rPr>
                <w:rFonts w:ascii="宋体" w:hAnsi="宋体" w:eastAsia="宋体" w:cs="宋体"/>
                <w:sz w:val="24"/>
                <w:szCs w:val="24"/>
                <w:lang w:val="zh-TW" w:eastAsia="zh-TW"/>
              </w:rPr>
              <w:t>方案分项</w:t>
            </w:r>
          </w:p>
        </w:tc>
        <w:tc>
          <w:tcPr>
            <w:tcW w:w="5400" w:type="dxa"/>
            <w:tcBorders>
              <w:top w:val="single" w:color="000000" w:sz="4" w:space="0"/>
              <w:left w:val="single" w:color="000000" w:sz="4" w:space="0"/>
              <w:bottom w:val="single" w:color="000000" w:sz="4" w:space="0"/>
              <w:right w:val="single" w:color="000000" w:sz="4" w:space="0"/>
            </w:tcBorders>
            <w:shd w:val="clear" w:color="auto" w:fill="BFBFBF"/>
          </w:tcPr>
          <w:p w14:paraId="200A04BD">
            <w:pPr>
              <w:pStyle w:val="33"/>
              <w:spacing w:before="40" w:after="40"/>
              <w:jc w:val="center"/>
              <w:rPr>
                <w:rFonts w:hint="default" w:ascii="宋体" w:hAnsi="宋体" w:eastAsia="宋体" w:cs="宋体"/>
                <w:sz w:val="24"/>
                <w:szCs w:val="24"/>
              </w:rPr>
            </w:pPr>
            <w:r>
              <w:rPr>
                <w:rFonts w:ascii="宋体" w:hAnsi="宋体" w:eastAsia="宋体" w:cs="宋体"/>
                <w:sz w:val="24"/>
                <w:szCs w:val="24"/>
                <w:lang w:val="zh-TW" w:eastAsia="zh-TW"/>
              </w:rPr>
              <w:t>详细内容及要求</w:t>
            </w:r>
          </w:p>
        </w:tc>
      </w:tr>
      <w:tr w14:paraId="42E0C7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1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CB2119">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等级化安全保障建议方案</w:t>
            </w:r>
          </w:p>
        </w:tc>
        <w:tc>
          <w:tcPr>
            <w:tcW w:w="5400" w:type="dxa"/>
            <w:tcBorders>
              <w:top w:val="single" w:color="000000" w:sz="4" w:space="0"/>
              <w:left w:val="single" w:color="000000" w:sz="4" w:space="0"/>
              <w:bottom w:val="single" w:color="000000" w:sz="4" w:space="0"/>
              <w:right w:val="single" w:color="000000" w:sz="4" w:space="0"/>
            </w:tcBorders>
            <w:shd w:val="clear" w:color="auto" w:fill="auto"/>
          </w:tcPr>
          <w:p w14:paraId="43C16C43">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内容应包括但不限于以下方面：</w:t>
            </w:r>
          </w:p>
          <w:p w14:paraId="6E63184F">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、安全区域和等级划分；</w:t>
            </w:r>
          </w:p>
          <w:p w14:paraId="6AA883F6">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、安全体系框架设计；</w:t>
            </w:r>
          </w:p>
          <w:p w14:paraId="5DDB588B">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eastAsia="zh-TW"/>
              </w:rPr>
              <w:t>、等级化安全指标体系报告。</w:t>
            </w:r>
          </w:p>
        </w:tc>
      </w:tr>
      <w:tr w14:paraId="3C8150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5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22A66">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安全体系建设建议方案</w:t>
            </w:r>
          </w:p>
        </w:tc>
        <w:tc>
          <w:tcPr>
            <w:tcW w:w="5400" w:type="dxa"/>
            <w:tcBorders>
              <w:top w:val="single" w:color="000000" w:sz="4" w:space="0"/>
              <w:left w:val="single" w:color="000000" w:sz="4" w:space="0"/>
              <w:bottom w:val="single" w:color="000000" w:sz="4" w:space="0"/>
              <w:right w:val="single" w:color="000000" w:sz="4" w:space="0"/>
            </w:tcBorders>
            <w:shd w:val="clear" w:color="auto" w:fill="auto"/>
          </w:tcPr>
          <w:p w14:paraId="3961669E">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内容应包括但不限于以下方面：</w:t>
            </w:r>
          </w:p>
          <w:p w14:paraId="68AA93E3">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、网络面临风险分析；</w:t>
            </w:r>
          </w:p>
          <w:p w14:paraId="72F85928">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、针对性措施建议。</w:t>
            </w:r>
          </w:p>
        </w:tc>
      </w:tr>
      <w:tr w14:paraId="65353C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30" w:hRule="atLeast"/>
          <w:jc w:val="center"/>
        </w:trPr>
        <w:tc>
          <w:tcPr>
            <w:tcW w:w="3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032A37">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相关网络安全 管理制度</w:t>
            </w:r>
          </w:p>
        </w:tc>
        <w:tc>
          <w:tcPr>
            <w:tcW w:w="5400" w:type="dxa"/>
            <w:tcBorders>
              <w:top w:val="single" w:color="000000" w:sz="4" w:space="0"/>
              <w:left w:val="single" w:color="000000" w:sz="4" w:space="0"/>
              <w:bottom w:val="single" w:color="000000" w:sz="4" w:space="0"/>
              <w:right w:val="single" w:color="000000" w:sz="4" w:space="0"/>
            </w:tcBorders>
            <w:shd w:val="clear" w:color="auto" w:fill="auto"/>
          </w:tcPr>
          <w:p w14:paraId="3C776BBA">
            <w:pPr>
              <w:pStyle w:val="33"/>
              <w:spacing w:before="40" w:after="40"/>
              <w:rPr>
                <w:rFonts w:hint="default" w:ascii="宋体" w:hAnsi="宋体" w:eastAsia="宋体" w:cs="宋体"/>
                <w:sz w:val="24"/>
                <w:szCs w:val="24"/>
              </w:rPr>
            </w:pPr>
            <w:r>
              <w:rPr>
                <w:rFonts w:ascii="宋体" w:hAnsi="宋体" w:eastAsia="宋体" w:cs="宋体"/>
                <w:sz w:val="24"/>
                <w:szCs w:val="24"/>
                <w:lang w:val="zh-TW" w:eastAsia="zh-TW"/>
              </w:rPr>
              <w:t>内容应包括但不限于以下方面：</w:t>
            </w:r>
          </w:p>
          <w:p w14:paraId="4C6CA00D">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、机房安全管理制度；</w:t>
            </w:r>
          </w:p>
          <w:p w14:paraId="7E44F89F">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、网络故障应急预案及应急方案流程制度；</w:t>
            </w:r>
          </w:p>
          <w:p w14:paraId="3702ED2A">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eastAsia="zh-TW"/>
              </w:rPr>
              <w:t>、客户端管理制度；</w:t>
            </w:r>
          </w:p>
          <w:p w14:paraId="06513269">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、数据备份及恢复制度；</w:t>
            </w:r>
          </w:p>
          <w:p w14:paraId="7407AAED">
            <w:pPr>
              <w:pStyle w:val="33"/>
              <w:spacing w:before="40" w:after="40"/>
              <w:ind w:left="357" w:hanging="357"/>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、灾难恢复策略及制度。</w:t>
            </w:r>
          </w:p>
        </w:tc>
      </w:tr>
      <w:bookmarkEnd w:id="32"/>
      <w:bookmarkEnd w:id="33"/>
      <w:bookmarkEnd w:id="34"/>
      <w:bookmarkEnd w:id="35"/>
      <w:bookmarkEnd w:id="36"/>
      <w:bookmarkEnd w:id="37"/>
    </w:tbl>
    <w:p w14:paraId="46611A88">
      <w:pPr>
        <w:pStyle w:val="3"/>
        <w:numPr>
          <w:ilvl w:val="1"/>
          <w:numId w:val="2"/>
        </w:numPr>
        <w:rPr>
          <w:rFonts w:ascii="宋体" w:hAnsi="宋体" w:cs="宋体"/>
          <w:b/>
          <w:bCs/>
          <w:szCs w:val="24"/>
        </w:rPr>
      </w:pPr>
      <w:bookmarkStart w:id="38" w:name="_Toc46309856"/>
      <w:bookmarkStart w:id="39" w:name="_Toc27755490"/>
      <w:bookmarkStart w:id="40" w:name="_Toc492547121"/>
      <w:bookmarkStart w:id="41" w:name="_Toc531790524"/>
      <w:r>
        <w:rPr>
          <w:rFonts w:hint="eastAsia" w:ascii="宋体" w:hAnsi="宋体" w:cs="宋体"/>
          <w:b/>
          <w:bCs/>
          <w:szCs w:val="24"/>
        </w:rPr>
        <w:t>项目工期</w:t>
      </w:r>
      <w:bookmarkEnd w:id="38"/>
      <w:bookmarkEnd w:id="39"/>
    </w:p>
    <w:p w14:paraId="1643B26B">
      <w:pPr>
        <w:pStyle w:val="4"/>
        <w:rPr>
          <w:rFonts w:hAnsi="宋体" w:cs="宋体"/>
          <w:szCs w:val="24"/>
        </w:rPr>
      </w:pPr>
      <w:r>
        <w:rPr>
          <w:rFonts w:hint="eastAsia" w:hAnsi="宋体" w:cs="宋体"/>
          <w:szCs w:val="24"/>
        </w:rPr>
        <w:t>30个工作日（整改时间除外）</w:t>
      </w:r>
    </w:p>
    <w:bookmarkEnd w:id="40"/>
    <w:bookmarkEnd w:id="41"/>
    <w:p w14:paraId="3E2072A3">
      <w:pPr>
        <w:pStyle w:val="3"/>
        <w:numPr>
          <w:ilvl w:val="1"/>
          <w:numId w:val="2"/>
        </w:numPr>
        <w:rPr>
          <w:rFonts w:ascii="宋体" w:hAnsi="宋体" w:cs="宋体"/>
          <w:b/>
          <w:bCs/>
          <w:szCs w:val="24"/>
        </w:rPr>
      </w:pPr>
      <w:bookmarkStart w:id="42" w:name="_Toc46314089"/>
      <w:bookmarkStart w:id="43" w:name="_Toc46309861"/>
      <w:r>
        <w:rPr>
          <w:rFonts w:hint="eastAsia" w:ascii="宋体" w:hAnsi="宋体" w:cs="宋体"/>
          <w:b/>
          <w:bCs/>
          <w:szCs w:val="24"/>
        </w:rPr>
        <w:t>项目验收</w:t>
      </w:r>
      <w:bookmarkEnd w:id="42"/>
    </w:p>
    <w:p w14:paraId="7DDAA0CA">
      <w:pPr>
        <w:pStyle w:val="5"/>
        <w:numPr>
          <w:ilvl w:val="0"/>
          <w:numId w:val="5"/>
        </w:numPr>
        <w:rPr>
          <w:rFonts w:ascii="宋体" w:hAnsi="宋体" w:eastAsia="宋体" w:cs="宋体"/>
          <w:sz w:val="24"/>
          <w:szCs w:val="24"/>
          <w:lang w:val="zh-TW" w:eastAsia="zh-TW"/>
        </w:rPr>
      </w:pPr>
      <w:bookmarkStart w:id="44" w:name="6.1验收条件"/>
      <w:bookmarkEnd w:id="44"/>
      <w:bookmarkStart w:id="45" w:name="_Toc46314090"/>
      <w:r>
        <w:rPr>
          <w:rFonts w:hint="eastAsia" w:ascii="宋体" w:hAnsi="宋体" w:eastAsia="宋体" w:cs="宋体"/>
          <w:sz w:val="24"/>
          <w:szCs w:val="24"/>
          <w:lang w:val="zh-TW" w:eastAsia="zh-TW"/>
        </w:rPr>
        <w:t>验收条件</w:t>
      </w:r>
      <w:bookmarkEnd w:id="45"/>
    </w:p>
    <w:p w14:paraId="475773D2">
      <w:pPr>
        <w:spacing w:line="360" w:lineRule="auto"/>
        <w:rPr>
          <w:rFonts w:ascii="宋体" w:hAnsi="宋体" w:cs="宋体"/>
          <w:kern w:val="0"/>
          <w:sz w:val="24"/>
          <w:szCs w:val="24"/>
        </w:rPr>
      </w:pPr>
      <w:r>
        <w:rPr>
          <w:rFonts w:hint="eastAsia" w:ascii="宋体" w:hAnsi="宋体" w:cs="宋体"/>
          <w:kern w:val="0"/>
          <w:sz w:val="24"/>
          <w:szCs w:val="24"/>
        </w:rPr>
        <w:t>1）完成本次项目所含信息系统的等级测评并提交等级测评报告；</w:t>
      </w:r>
    </w:p>
    <w:p w14:paraId="010324AC">
      <w:pPr>
        <w:spacing w:line="360" w:lineRule="auto"/>
        <w:rPr>
          <w:rFonts w:ascii="宋体" w:hAnsi="宋体" w:cs="宋体"/>
          <w:kern w:val="0"/>
          <w:sz w:val="24"/>
          <w:szCs w:val="24"/>
        </w:rPr>
      </w:pPr>
      <w:r>
        <w:rPr>
          <w:rFonts w:hint="eastAsia" w:ascii="宋体" w:hAnsi="宋体" w:cs="宋体"/>
          <w:kern w:val="0"/>
          <w:sz w:val="24"/>
          <w:szCs w:val="24"/>
        </w:rPr>
        <w:t>2）提交安全整改技术方案建议；</w:t>
      </w:r>
    </w:p>
    <w:p w14:paraId="70A284BE">
      <w:pPr>
        <w:spacing w:line="360" w:lineRule="auto"/>
        <w:rPr>
          <w:rFonts w:ascii="宋体" w:hAnsi="宋体" w:cs="宋体"/>
          <w:kern w:val="0"/>
          <w:sz w:val="24"/>
          <w:szCs w:val="24"/>
        </w:rPr>
      </w:pPr>
      <w:r>
        <w:rPr>
          <w:rFonts w:hint="eastAsia" w:ascii="宋体" w:hAnsi="宋体" w:cs="宋体"/>
          <w:kern w:val="0"/>
          <w:sz w:val="24"/>
          <w:szCs w:val="24"/>
        </w:rPr>
        <w:t>3）提交培训方案、应急响应预案，完成培训计划；</w:t>
      </w:r>
    </w:p>
    <w:p w14:paraId="25CB57F3">
      <w:pPr>
        <w:spacing w:line="360" w:lineRule="auto"/>
        <w:rPr>
          <w:rFonts w:ascii="宋体" w:hAnsi="宋体" w:cs="宋体"/>
          <w:kern w:val="0"/>
          <w:sz w:val="24"/>
          <w:szCs w:val="24"/>
        </w:rPr>
      </w:pPr>
      <w:r>
        <w:rPr>
          <w:rFonts w:hint="eastAsia" w:ascii="宋体" w:hAnsi="宋体" w:cs="宋体"/>
          <w:kern w:val="0"/>
          <w:sz w:val="24"/>
          <w:szCs w:val="24"/>
        </w:rPr>
        <w:t>4）协助完成备案，取得备案证明</w:t>
      </w:r>
      <w:bookmarkEnd w:id="43"/>
      <w:r>
        <w:rPr>
          <w:rFonts w:hint="eastAsia" w:ascii="宋体" w:hAnsi="宋体" w:cs="宋体"/>
          <w:kern w:val="0"/>
          <w:sz w:val="24"/>
          <w:szCs w:val="24"/>
        </w:rPr>
        <w:t>。</w:t>
      </w: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5B9">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790C1">
                          <w:pPr>
                            <w:pStyle w:val="13"/>
                          </w:pPr>
                          <w:r>
                            <w:rPr>
                              <w:rFonts w:hint="eastAsia"/>
                              <w:sz w:val="20"/>
                              <w:szCs w:val="21"/>
                            </w:rPr>
                            <w:fldChar w:fldCharType="begin"/>
                          </w:r>
                          <w:r>
                            <w:rPr>
                              <w:rFonts w:hint="eastAsia"/>
                              <w:sz w:val="20"/>
                              <w:szCs w:val="21"/>
                            </w:rPr>
                            <w:instrText xml:space="preserve"> PAGE  \* MERGEFORMAT </w:instrText>
                          </w:r>
                          <w:r>
                            <w:rPr>
                              <w:rFonts w:hint="eastAsia"/>
                              <w:sz w:val="20"/>
                              <w:szCs w:val="21"/>
                            </w:rPr>
                            <w:fldChar w:fldCharType="separate"/>
                          </w:r>
                          <w:r>
                            <w:rPr>
                              <w:sz w:val="20"/>
                              <w:szCs w:val="21"/>
                            </w:rPr>
                            <w:t>7</w:t>
                          </w:r>
                          <w:r>
                            <w:rPr>
                              <w:rFonts w:hint="eastAsia"/>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FE790C1">
                    <w:pPr>
                      <w:pStyle w:val="13"/>
                    </w:pPr>
                    <w:r>
                      <w:rPr>
                        <w:rFonts w:hint="eastAsia"/>
                        <w:sz w:val="20"/>
                        <w:szCs w:val="21"/>
                      </w:rPr>
                      <w:fldChar w:fldCharType="begin"/>
                    </w:r>
                    <w:r>
                      <w:rPr>
                        <w:rFonts w:hint="eastAsia"/>
                        <w:sz w:val="20"/>
                        <w:szCs w:val="21"/>
                      </w:rPr>
                      <w:instrText xml:space="preserve"> PAGE  \* MERGEFORMAT </w:instrText>
                    </w:r>
                    <w:r>
                      <w:rPr>
                        <w:rFonts w:hint="eastAsia"/>
                        <w:sz w:val="20"/>
                        <w:szCs w:val="21"/>
                      </w:rPr>
                      <w:fldChar w:fldCharType="separate"/>
                    </w:r>
                    <w:r>
                      <w:rPr>
                        <w:sz w:val="20"/>
                        <w:szCs w:val="21"/>
                      </w:rPr>
                      <w:t>7</w:t>
                    </w:r>
                    <w:r>
                      <w:rPr>
                        <w:rFonts w:hint="eastAsia"/>
                        <w:sz w:val="20"/>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23E6">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418F">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1AA418F">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03888"/>
    <w:multiLevelType w:val="multilevel"/>
    <w:tmpl w:val="1900388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891103"/>
    <w:multiLevelType w:val="multilevel"/>
    <w:tmpl w:val="1F891103"/>
    <w:lvl w:ilvl="0" w:tentative="0">
      <w:start w:val="1"/>
      <w:numFmt w:val="decimal"/>
      <w:lvlText w:val="%1)"/>
      <w:lvlJc w:val="left"/>
      <w:pPr>
        <w:tabs>
          <w:tab w:val="left" w:pos="420"/>
        </w:tabs>
        <w:ind w:left="420" w:hanging="420"/>
      </w:pPr>
    </w:lvl>
    <w:lvl w:ilvl="1" w:tentative="0">
      <w:start w:val="1"/>
      <w:numFmt w:val="decimal"/>
      <w:suff w:val="space"/>
      <w:lvlText w:val="%2."/>
      <w:lvlJc w:val="left"/>
      <w:pPr>
        <w:ind w:left="420" w:hanging="420"/>
      </w:pPr>
      <w:rPr>
        <w:rFonts w:hint="eastAsia" w:ascii="宋体" w:hAnsi="宋体" w:eastAsia="宋体"/>
        <w:sz w:val="24"/>
        <w:szCs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095E9F"/>
    <w:multiLevelType w:val="multilevel"/>
    <w:tmpl w:val="22095E9F"/>
    <w:lvl w:ilvl="0" w:tentative="0">
      <w:start w:val="1"/>
      <w:numFmt w:val="decimal"/>
      <w:lvlText w:val="%1)"/>
      <w:lvlJc w:val="left"/>
      <w:pPr>
        <w:tabs>
          <w:tab w:val="left" w:pos="420"/>
        </w:tabs>
        <w:ind w:left="420" w:hanging="420"/>
      </w:pPr>
    </w:lvl>
    <w:lvl w:ilvl="1" w:tentative="0">
      <w:start w:val="1"/>
      <w:numFmt w:val="decimal"/>
      <w:suff w:val="space"/>
      <w:lvlText w:val="%2."/>
      <w:lvlJc w:val="left"/>
      <w:pPr>
        <w:ind w:left="420" w:hanging="420"/>
      </w:pPr>
      <w:rPr>
        <w:rFonts w:hint="eastAsia" w:ascii="宋体" w:hAnsi="宋体" w:eastAsia="宋体"/>
        <w:sz w:val="24"/>
        <w:szCs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088417A"/>
    <w:multiLevelType w:val="multilevel"/>
    <w:tmpl w:val="5088417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74B0828"/>
    <w:multiLevelType w:val="multilevel"/>
    <w:tmpl w:val="674B082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41"/>
    <w:rsid w:val="00023FA8"/>
    <w:rsid w:val="00041E77"/>
    <w:rsid w:val="00087EB5"/>
    <w:rsid w:val="000A3384"/>
    <w:rsid w:val="000A6D4C"/>
    <w:rsid w:val="000B5D08"/>
    <w:rsid w:val="000D21C4"/>
    <w:rsid w:val="00117673"/>
    <w:rsid w:val="00134B42"/>
    <w:rsid w:val="00144FD1"/>
    <w:rsid w:val="00153343"/>
    <w:rsid w:val="00175F1D"/>
    <w:rsid w:val="00190D8F"/>
    <w:rsid w:val="001C0F4F"/>
    <w:rsid w:val="0028107E"/>
    <w:rsid w:val="002A0C19"/>
    <w:rsid w:val="002B18FF"/>
    <w:rsid w:val="002B25B2"/>
    <w:rsid w:val="002C3828"/>
    <w:rsid w:val="00304688"/>
    <w:rsid w:val="003250FD"/>
    <w:rsid w:val="0035602E"/>
    <w:rsid w:val="00386FD9"/>
    <w:rsid w:val="00395769"/>
    <w:rsid w:val="003B5A8D"/>
    <w:rsid w:val="003B6C93"/>
    <w:rsid w:val="004335D9"/>
    <w:rsid w:val="00437BA8"/>
    <w:rsid w:val="004557AA"/>
    <w:rsid w:val="004D7844"/>
    <w:rsid w:val="0053092B"/>
    <w:rsid w:val="005E029A"/>
    <w:rsid w:val="006242F4"/>
    <w:rsid w:val="0063599D"/>
    <w:rsid w:val="0066649B"/>
    <w:rsid w:val="00697398"/>
    <w:rsid w:val="006A37DF"/>
    <w:rsid w:val="006A5CB2"/>
    <w:rsid w:val="006D712E"/>
    <w:rsid w:val="006F00B8"/>
    <w:rsid w:val="00715C41"/>
    <w:rsid w:val="00730080"/>
    <w:rsid w:val="0077209A"/>
    <w:rsid w:val="00773370"/>
    <w:rsid w:val="007D5C4F"/>
    <w:rsid w:val="00841449"/>
    <w:rsid w:val="00842044"/>
    <w:rsid w:val="00861D83"/>
    <w:rsid w:val="008B3DDA"/>
    <w:rsid w:val="00982F2F"/>
    <w:rsid w:val="009A1D4F"/>
    <w:rsid w:val="009F129C"/>
    <w:rsid w:val="00A27720"/>
    <w:rsid w:val="00A807AE"/>
    <w:rsid w:val="00AC0A04"/>
    <w:rsid w:val="00B00A49"/>
    <w:rsid w:val="00B25D13"/>
    <w:rsid w:val="00B40623"/>
    <w:rsid w:val="00B6035A"/>
    <w:rsid w:val="00B73F75"/>
    <w:rsid w:val="00B905D0"/>
    <w:rsid w:val="00B95CDC"/>
    <w:rsid w:val="00BA41B0"/>
    <w:rsid w:val="00BD0B0E"/>
    <w:rsid w:val="00C23C98"/>
    <w:rsid w:val="00C34421"/>
    <w:rsid w:val="00C73E01"/>
    <w:rsid w:val="00CA14EE"/>
    <w:rsid w:val="00CA5026"/>
    <w:rsid w:val="00CC200E"/>
    <w:rsid w:val="00CF79F1"/>
    <w:rsid w:val="00D15928"/>
    <w:rsid w:val="00D5375E"/>
    <w:rsid w:val="00D6375A"/>
    <w:rsid w:val="00D9614E"/>
    <w:rsid w:val="00DC37D2"/>
    <w:rsid w:val="00DC6948"/>
    <w:rsid w:val="00DD78D2"/>
    <w:rsid w:val="00E6173D"/>
    <w:rsid w:val="00E639D2"/>
    <w:rsid w:val="00E84432"/>
    <w:rsid w:val="00EC123F"/>
    <w:rsid w:val="00ED23E2"/>
    <w:rsid w:val="00EF128D"/>
    <w:rsid w:val="00F37759"/>
    <w:rsid w:val="00F55E3E"/>
    <w:rsid w:val="00F84918"/>
    <w:rsid w:val="00F95AE9"/>
    <w:rsid w:val="00FB2775"/>
    <w:rsid w:val="00FB3DF5"/>
    <w:rsid w:val="30ED7159"/>
    <w:rsid w:val="39DD3435"/>
    <w:rsid w:val="3E744340"/>
    <w:rsid w:val="5CC011D5"/>
    <w:rsid w:val="5F6F3E5D"/>
    <w:rsid w:val="7FEF19ED"/>
    <w:rsid w:val="7FF76099"/>
    <w:rsid w:val="FBD76271"/>
    <w:rsid w:val="FF5F3360"/>
    <w:rsid w:val="FFDFF415"/>
    <w:rsid w:val="FFEB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spacing w:before="240" w:after="240" w:line="300" w:lineRule="auto"/>
      <w:jc w:val="center"/>
      <w:outlineLvl w:val="0"/>
    </w:pPr>
    <w:rPr>
      <w:rFonts w:ascii="Calibri" w:hAnsi="Calibri"/>
      <w:kern w:val="44"/>
      <w:sz w:val="28"/>
    </w:rPr>
  </w:style>
  <w:style w:type="paragraph" w:styleId="3">
    <w:name w:val="heading 2"/>
    <w:basedOn w:val="1"/>
    <w:next w:val="4"/>
    <w:link w:val="28"/>
    <w:qFormat/>
    <w:uiPriority w:val="0"/>
    <w:pPr>
      <w:keepNext/>
      <w:keepLines/>
      <w:spacing w:before="260" w:after="260" w:line="276" w:lineRule="auto"/>
      <w:jc w:val="left"/>
      <w:outlineLvl w:val="1"/>
    </w:pPr>
    <w:rPr>
      <w:rFonts w:ascii="Arial" w:hAnsi="Arial"/>
      <w:sz w:val="24"/>
    </w:rPr>
  </w:style>
  <w:style w:type="paragraph" w:styleId="5">
    <w:name w:val="heading 3"/>
    <w:basedOn w:val="1"/>
    <w:next w:val="1"/>
    <w:link w:val="29"/>
    <w:qFormat/>
    <w:uiPriority w:val="0"/>
    <w:pPr>
      <w:keepNext/>
      <w:keepLines/>
      <w:spacing w:before="200" w:after="200"/>
      <w:outlineLvl w:val="2"/>
    </w:pPr>
    <w:rPr>
      <w:rFonts w:ascii="Calibri" w:hAnsi="Calibri" w:eastAsia="黑体"/>
      <w:sz w:val="30"/>
    </w:rPr>
  </w:style>
  <w:style w:type="paragraph" w:styleId="6">
    <w:name w:val="heading 4"/>
    <w:basedOn w:val="1"/>
    <w:next w:val="1"/>
    <w:link w:val="30"/>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rPr>
  </w:style>
  <w:style w:type="paragraph" w:styleId="7">
    <w:name w:val="annotation text"/>
    <w:basedOn w:val="1"/>
    <w:link w:val="35"/>
    <w:semiHidden/>
    <w:unhideWhenUsed/>
    <w:qFormat/>
    <w:uiPriority w:val="99"/>
    <w:pPr>
      <w:jc w:val="left"/>
    </w:pPr>
  </w:style>
  <w:style w:type="paragraph" w:styleId="8">
    <w:name w:val="Body Text"/>
    <w:basedOn w:val="1"/>
    <w:next w:val="9"/>
    <w:link w:val="26"/>
    <w:semiHidden/>
    <w:unhideWhenUsed/>
    <w:qFormat/>
    <w:uiPriority w:val="99"/>
    <w:pPr>
      <w:spacing w:after="120"/>
    </w:pPr>
  </w:style>
  <w:style w:type="paragraph" w:styleId="9">
    <w:name w:val="Body Text 2"/>
    <w:basedOn w:val="1"/>
    <w:qFormat/>
    <w:uiPriority w:val="0"/>
    <w:pPr>
      <w:widowControl/>
      <w:spacing w:before="100" w:beforeAutospacing="1" w:after="100" w:afterAutospacing="1"/>
      <w:jc w:val="left"/>
    </w:pPr>
    <w:rPr>
      <w:rFonts w:ascii="宋体" w:hAnsi="宋体"/>
      <w:kern w:val="0"/>
    </w:rPr>
  </w:style>
  <w:style w:type="paragraph" w:styleId="10">
    <w:name w:val="Body Text Indent"/>
    <w:basedOn w:val="1"/>
    <w:next w:val="11"/>
    <w:link w:val="24"/>
    <w:semiHidden/>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alloon Text"/>
    <w:basedOn w:val="1"/>
    <w:link w:val="37"/>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7"/>
    <w:next w:val="7"/>
    <w:link w:val="36"/>
    <w:semiHidden/>
    <w:unhideWhenUsed/>
    <w:qFormat/>
    <w:uiPriority w:val="99"/>
    <w:rPr>
      <w:b/>
      <w:bCs/>
    </w:rPr>
  </w:style>
  <w:style w:type="paragraph" w:styleId="17">
    <w:name w:val="Body Text First Indent"/>
    <w:basedOn w:val="8"/>
    <w:next w:val="18"/>
    <w:link w:val="34"/>
    <w:unhideWhenUsed/>
    <w:qFormat/>
    <w:uiPriority w:val="99"/>
    <w:pPr>
      <w:ind w:firstLine="420" w:firstLineChars="100"/>
    </w:pPr>
  </w:style>
  <w:style w:type="paragraph" w:styleId="18">
    <w:name w:val="Body Text First Indent 2"/>
    <w:basedOn w:val="10"/>
    <w:next w:val="17"/>
    <w:link w:val="25"/>
    <w:semiHidden/>
    <w:unhideWhenUsed/>
    <w:qFormat/>
    <w:uiPriority w:val="99"/>
    <w:pPr>
      <w:ind w:firstLine="420" w:firstLineChars="200"/>
    </w:pPr>
  </w:style>
  <w:style w:type="character" w:styleId="21">
    <w:name w:val="annotation reference"/>
    <w:basedOn w:val="20"/>
    <w:semiHidden/>
    <w:unhideWhenUsed/>
    <w:qFormat/>
    <w:uiPriority w:val="99"/>
    <w:rPr>
      <w:sz w:val="21"/>
      <w:szCs w:val="21"/>
    </w:rPr>
  </w:style>
  <w:style w:type="character" w:customStyle="1" w:styleId="22">
    <w:name w:val="页眉 字符"/>
    <w:basedOn w:val="20"/>
    <w:link w:val="14"/>
    <w:qFormat/>
    <w:uiPriority w:val="99"/>
    <w:rPr>
      <w:sz w:val="18"/>
      <w:szCs w:val="18"/>
    </w:rPr>
  </w:style>
  <w:style w:type="character" w:customStyle="1" w:styleId="23">
    <w:name w:val="页脚 字符"/>
    <w:basedOn w:val="20"/>
    <w:link w:val="13"/>
    <w:qFormat/>
    <w:uiPriority w:val="99"/>
    <w:rPr>
      <w:sz w:val="18"/>
      <w:szCs w:val="18"/>
    </w:rPr>
  </w:style>
  <w:style w:type="character" w:customStyle="1" w:styleId="24">
    <w:name w:val="正文文本缩进 字符"/>
    <w:basedOn w:val="20"/>
    <w:link w:val="10"/>
    <w:semiHidden/>
    <w:qFormat/>
    <w:uiPriority w:val="99"/>
    <w:rPr>
      <w:rFonts w:ascii="Times New Roman" w:hAnsi="Times New Roman" w:eastAsia="宋体" w:cs="Times New Roman"/>
      <w:szCs w:val="20"/>
    </w:rPr>
  </w:style>
  <w:style w:type="character" w:customStyle="1" w:styleId="25">
    <w:name w:val="正文文本首行缩进 2 字符"/>
    <w:basedOn w:val="24"/>
    <w:link w:val="18"/>
    <w:semiHidden/>
    <w:qFormat/>
    <w:uiPriority w:val="99"/>
    <w:rPr>
      <w:rFonts w:ascii="Times New Roman" w:hAnsi="Times New Roman" w:eastAsia="宋体" w:cs="Times New Roman"/>
      <w:szCs w:val="20"/>
    </w:rPr>
  </w:style>
  <w:style w:type="character" w:customStyle="1" w:styleId="26">
    <w:name w:val="正文文本 字符"/>
    <w:basedOn w:val="20"/>
    <w:link w:val="8"/>
    <w:semiHidden/>
    <w:qFormat/>
    <w:uiPriority w:val="99"/>
    <w:rPr>
      <w:rFonts w:ascii="Times New Roman" w:hAnsi="Times New Roman" w:eastAsia="宋体" w:cs="Times New Roman"/>
      <w:szCs w:val="20"/>
    </w:rPr>
  </w:style>
  <w:style w:type="character" w:customStyle="1" w:styleId="27">
    <w:name w:val="标题 1 字符"/>
    <w:basedOn w:val="20"/>
    <w:link w:val="2"/>
    <w:qFormat/>
    <w:uiPriority w:val="0"/>
    <w:rPr>
      <w:rFonts w:ascii="Calibri" w:hAnsi="Calibri" w:eastAsia="宋体" w:cs="Times New Roman"/>
      <w:kern w:val="44"/>
      <w:sz w:val="28"/>
      <w:szCs w:val="20"/>
    </w:rPr>
  </w:style>
  <w:style w:type="character" w:customStyle="1" w:styleId="28">
    <w:name w:val="标题 2 字符"/>
    <w:basedOn w:val="20"/>
    <w:link w:val="3"/>
    <w:qFormat/>
    <w:uiPriority w:val="0"/>
    <w:rPr>
      <w:rFonts w:ascii="Arial" w:hAnsi="Arial" w:eastAsia="宋体" w:cs="Times New Roman"/>
      <w:sz w:val="24"/>
      <w:szCs w:val="20"/>
    </w:rPr>
  </w:style>
  <w:style w:type="character" w:customStyle="1" w:styleId="29">
    <w:name w:val="标题 3 字符"/>
    <w:basedOn w:val="20"/>
    <w:link w:val="5"/>
    <w:qFormat/>
    <w:uiPriority w:val="0"/>
    <w:rPr>
      <w:rFonts w:ascii="Calibri" w:hAnsi="Calibri" w:eastAsia="黑体" w:cs="Times New Roman"/>
      <w:sz w:val="30"/>
      <w:szCs w:val="20"/>
    </w:rPr>
  </w:style>
  <w:style w:type="character" w:customStyle="1" w:styleId="30">
    <w:name w:val="标题 4 字符"/>
    <w:basedOn w:val="20"/>
    <w:link w:val="6"/>
    <w:qFormat/>
    <w:uiPriority w:val="0"/>
    <w:rPr>
      <w:rFonts w:ascii="Arial" w:hAnsi="Arial" w:eastAsia="黑体" w:cs="Times New Roman"/>
      <w:b/>
      <w:bCs/>
      <w:sz w:val="28"/>
      <w:szCs w:val="28"/>
    </w:rPr>
  </w:style>
  <w:style w:type="paragraph" w:customStyle="1" w:styleId="31">
    <w:name w:val="列出段落2"/>
    <w:basedOn w:val="1"/>
    <w:qFormat/>
    <w:uiPriority w:val="99"/>
    <w:pPr>
      <w:ind w:firstLine="420" w:firstLineChars="200"/>
    </w:pPr>
  </w:style>
  <w:style w:type="character" w:customStyle="1" w:styleId="32">
    <w:name w:val="标题 1 Char Char"/>
    <w:qFormat/>
    <w:uiPriority w:val="0"/>
    <w:rPr>
      <w:rFonts w:ascii="Calibri" w:hAnsi="Calibri" w:eastAsia="黑体"/>
      <w:kern w:val="44"/>
      <w:sz w:val="32"/>
    </w:rPr>
  </w:style>
  <w:style w:type="paragraph" w:customStyle="1" w:styleId="3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34">
    <w:name w:val="正文文本首行缩进 字符"/>
    <w:basedOn w:val="26"/>
    <w:link w:val="17"/>
    <w:qFormat/>
    <w:uiPriority w:val="99"/>
    <w:rPr>
      <w:rFonts w:ascii="Times New Roman" w:hAnsi="Times New Roman" w:eastAsia="宋体" w:cs="Times New Roman"/>
      <w:szCs w:val="20"/>
    </w:rPr>
  </w:style>
  <w:style w:type="character" w:customStyle="1" w:styleId="35">
    <w:name w:val="批注文字 字符"/>
    <w:basedOn w:val="20"/>
    <w:link w:val="7"/>
    <w:semiHidden/>
    <w:qFormat/>
    <w:uiPriority w:val="99"/>
    <w:rPr>
      <w:rFonts w:ascii="Times New Roman" w:hAnsi="Times New Roman" w:eastAsia="宋体" w:cs="Times New Roman"/>
      <w:szCs w:val="20"/>
    </w:rPr>
  </w:style>
  <w:style w:type="character" w:customStyle="1" w:styleId="36">
    <w:name w:val="批注主题 字符"/>
    <w:basedOn w:val="35"/>
    <w:link w:val="16"/>
    <w:semiHidden/>
    <w:qFormat/>
    <w:uiPriority w:val="99"/>
    <w:rPr>
      <w:rFonts w:ascii="Times New Roman" w:hAnsi="Times New Roman" w:eastAsia="宋体" w:cs="Times New Roman"/>
      <w:b/>
      <w:bCs/>
      <w:szCs w:val="20"/>
    </w:rPr>
  </w:style>
  <w:style w:type="character" w:customStyle="1" w:styleId="37">
    <w:name w:val="批注框文本 字符"/>
    <w:basedOn w:val="20"/>
    <w:link w:val="12"/>
    <w:semiHidden/>
    <w:qFormat/>
    <w:uiPriority w:val="99"/>
    <w:rPr>
      <w:rFonts w:ascii="Times New Roman" w:hAnsi="Times New Roman" w:eastAsia="宋体" w:cs="Times New Roman"/>
      <w:sz w:val="18"/>
      <w:szCs w:val="18"/>
    </w:rPr>
  </w:style>
  <w:style w:type="paragraph" w:customStyle="1" w:styleId="38">
    <w:name w:val="无间隔1"/>
    <w:basedOn w:val="1"/>
    <w:qFormat/>
    <w:uiPriority w:val="99"/>
    <w:pPr>
      <w:spacing w:line="400" w:lineRule="exact"/>
    </w:pPr>
    <w:rPr>
      <w:rFonts w:ascii="Calibri" w:hAnsi="Calibri"/>
      <w:sz w:val="24"/>
      <w:szCs w:val="24"/>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4275</Words>
  <Characters>4566</Characters>
  <Lines>120</Lines>
  <Paragraphs>102</Paragraphs>
  <TotalTime>26</TotalTime>
  <ScaleCrop>false</ScaleCrop>
  <LinksUpToDate>false</LinksUpToDate>
  <CharactersWithSpaces>4678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2026-05-13T07:55:00Z</dcterms:created>
  <dc:creator>13503818759@139.com</dc:creator>
  <cp:lastModifiedBy>亚娇</cp:lastModifiedBy>
  <dcterms:modified xsi:type="dcterms:W3CDTF">2026-05-18T08:59:49Z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0E8D9310BE5A478B98807DAD48B04737_13</vt:lpwstr>
  </property>
  <property fmtid="{D5CDD505-2E9C-101B-9397-08002B2CF9AE}" pid="4" name="KSOTemplateDocerSaveRecord">
    <vt:lpwstr>eyJoZGlkIjoiY2E5ZDA5MWM3Zjk1ZGFjMzQ0NjVjMjMxNjkyMmJmMWMifQ==</vt:lpwstr>
  </property>
</Properties>
</file>