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A1ED44">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驿城区高标准农田排查选聘第三方公司项目驻马店市政府电子采购商城竞价公告</w:t>
      </w:r>
    </w:p>
    <w:p w14:paraId="2E17DCE9">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b w:val="0"/>
          <w:bCs w:val="0"/>
          <w:sz w:val="32"/>
          <w:szCs w:val="32"/>
          <w:lang w:val="en-US" w:eastAsia="zh-CN"/>
        </w:rPr>
        <w:t>一、项目基本情况</w:t>
      </w:r>
    </w:p>
    <w:p w14:paraId="44AAC9F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1.项目名称：驿城区高标准农田排查选聘第三方公司项目</w:t>
      </w:r>
      <w:bookmarkStart w:id="0" w:name="_GoBack"/>
      <w:bookmarkEnd w:id="0"/>
    </w:p>
    <w:p w14:paraId="1316B1CB">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2.采购方式：驻马店市政府电子采购商城竞价</w:t>
      </w:r>
    </w:p>
    <w:p w14:paraId="53104E7B">
      <w:pPr>
        <w:pStyle w:val="2"/>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sz w:val="32"/>
          <w:szCs w:val="32"/>
          <w:lang w:val="en-US" w:eastAsia="zh-CN"/>
        </w:rPr>
        <w:t>3.预算金额：</w:t>
      </w:r>
      <w:r>
        <w:rPr>
          <w:rFonts w:hint="eastAsia" w:ascii="仿宋_GB2312" w:hAnsi="仿宋_GB2312" w:eastAsia="仿宋_GB2312" w:cs="仿宋_GB2312"/>
          <w:b w:val="0"/>
          <w:bCs w:val="0"/>
          <w:kern w:val="2"/>
          <w:sz w:val="32"/>
          <w:szCs w:val="32"/>
          <w:u w:val="none"/>
          <w:lang w:val="en-US" w:eastAsia="zh-CN" w:bidi="ar-SA"/>
        </w:rPr>
        <w:t xml:space="preserve">20万元   </w:t>
      </w:r>
    </w:p>
    <w:p w14:paraId="1DDBF57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4.最高限价：</w:t>
      </w:r>
      <w:r>
        <w:rPr>
          <w:rFonts w:hint="eastAsia" w:ascii="仿宋_GB2312" w:hAnsi="仿宋_GB2312" w:eastAsia="仿宋_GB2312" w:cs="仿宋_GB2312"/>
          <w:b w:val="0"/>
          <w:bCs w:val="0"/>
          <w:kern w:val="2"/>
          <w:sz w:val="32"/>
          <w:szCs w:val="32"/>
          <w:u w:val="none"/>
          <w:lang w:val="en-US" w:eastAsia="zh-CN" w:bidi="ar-SA"/>
        </w:rPr>
        <w:t xml:space="preserve">20万元 </w:t>
      </w:r>
    </w:p>
    <w:p w14:paraId="109D61C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5.采购需求(工作内容、技术标准、质量要求，成果材料等)</w:t>
      </w:r>
    </w:p>
    <w:p w14:paraId="1C30F33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（一）工作内容:对驿城区2019-2024年实施的</w:t>
      </w:r>
      <w:r>
        <w:rPr>
          <w:rFonts w:hint="eastAsia" w:ascii="仿宋_GB2312" w:hAnsi="仿宋_GB2312" w:eastAsia="仿宋_GB2312" w:cs="仿宋_GB2312"/>
          <w:b w:val="0"/>
          <w:bCs w:val="0"/>
          <w:kern w:val="2"/>
          <w:sz w:val="32"/>
          <w:szCs w:val="32"/>
          <w:lang w:val="en-US" w:eastAsia="zh-CN" w:bidi="ar-SA"/>
        </w:rPr>
        <w:t>20.03万亩</w:t>
      </w:r>
      <w:r>
        <w:rPr>
          <w:rFonts w:hint="eastAsia" w:ascii="仿宋_GB2312" w:hAnsi="仿宋_GB2312" w:eastAsia="仿宋_GB2312" w:cs="仿宋_GB2312"/>
          <w:b w:val="0"/>
          <w:bCs w:val="0"/>
          <w:sz w:val="32"/>
          <w:szCs w:val="32"/>
          <w:u w:val="none"/>
          <w:lang w:val="en-US" w:eastAsia="zh-CN"/>
        </w:rPr>
        <w:t>高标准农田项目进行全面排查，建立台账，出具排查报告，并根据排查情况编制损毁修复预算（预算书需加盖企业公章及2名造价师执业印章）。</w:t>
      </w:r>
    </w:p>
    <w:p w14:paraId="2B000B1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（二）技术标准：符合国家现行技术规范、标准、规程要求。</w:t>
      </w:r>
    </w:p>
    <w:p w14:paraId="5792E8C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 xml:space="preserve">（三）质量要求: 合格。 </w:t>
      </w:r>
    </w:p>
    <w:p w14:paraId="6FA4629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（四）成果材料：满足甲方需求。</w:t>
      </w:r>
    </w:p>
    <w:p w14:paraId="171729FE">
      <w:pPr>
        <w:pStyle w:val="2"/>
        <w:keepNext w:val="0"/>
        <w:keepLines w:val="0"/>
        <w:pageBreakBefore w:val="0"/>
        <w:kinsoku/>
        <w:wordWrap/>
        <w:overflowPunct/>
        <w:topLinePunct w:val="0"/>
        <w:autoSpaceDE/>
        <w:autoSpaceDN/>
        <w:bidi w:val="0"/>
        <w:adjustRightInd/>
        <w:snapToGrid/>
        <w:spacing w:line="580" w:lineRule="exact"/>
        <w:ind w:left="0" w:leftChars="0" w:firstLine="640" w:firstLineChars="200"/>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二、商务要求</w:t>
      </w:r>
    </w:p>
    <w:tbl>
      <w:tblPr>
        <w:tblStyle w:val="7"/>
        <w:tblW w:w="89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8"/>
        <w:gridCol w:w="7181"/>
      </w:tblGrid>
      <w:tr w14:paraId="2C81C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768" w:type="dxa"/>
            <w:noWrap w:val="0"/>
            <w:vAlign w:val="center"/>
          </w:tcPr>
          <w:p w14:paraId="53794155">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工期</w:t>
            </w:r>
          </w:p>
        </w:tc>
        <w:tc>
          <w:tcPr>
            <w:tcW w:w="7181" w:type="dxa"/>
            <w:noWrap w:val="0"/>
            <w:vAlign w:val="center"/>
          </w:tcPr>
          <w:p w14:paraId="552C92F0">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lang w:val="en-US" w:eastAsia="zh-CN"/>
              </w:rPr>
              <w:t>按业主要求期限。</w:t>
            </w:r>
          </w:p>
        </w:tc>
      </w:tr>
      <w:tr w14:paraId="5881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1768" w:type="dxa"/>
            <w:noWrap w:val="0"/>
            <w:vAlign w:val="center"/>
          </w:tcPr>
          <w:p w14:paraId="6164304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付款方式</w:t>
            </w:r>
          </w:p>
        </w:tc>
        <w:tc>
          <w:tcPr>
            <w:tcW w:w="7181" w:type="dxa"/>
            <w:noWrap w:val="0"/>
            <w:vAlign w:val="center"/>
          </w:tcPr>
          <w:p w14:paraId="34A1F1FC">
            <w:pPr>
              <w:pStyle w:val="9"/>
              <w:keepNext w:val="0"/>
              <w:keepLines w:val="0"/>
              <w:pageBreakBefore w:val="0"/>
              <w:widowControl w:val="0"/>
              <w:shd w:val="clear" w:color="auto" w:fill="auto"/>
              <w:kinsoku/>
              <w:wordWrap/>
              <w:overflowPunct/>
              <w:topLinePunct w:val="0"/>
              <w:autoSpaceDE/>
              <w:autoSpaceDN/>
              <w:bidi w:val="0"/>
              <w:adjustRightInd/>
              <w:snapToGrid/>
              <w:spacing w:before="0" w:after="0" w:line="580" w:lineRule="exact"/>
              <w:ind w:left="0" w:leftChars="0" w:right="0" w:firstLine="0" w:firstLineChars="0"/>
              <w:jc w:val="left"/>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kern w:val="2"/>
                <w:sz w:val="32"/>
                <w:szCs w:val="32"/>
                <w:u w:val="none"/>
                <w:shd w:val="clear" w:color="auto" w:fill="auto"/>
                <w:vertAlign w:val="baseline"/>
                <w:lang w:val="en-US" w:eastAsia="zh-CN" w:bidi="ar-SA"/>
              </w:rPr>
              <w:t>一次性支付全部合同价款。</w:t>
            </w:r>
          </w:p>
        </w:tc>
      </w:tr>
      <w:tr w14:paraId="52764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768" w:type="dxa"/>
            <w:noWrap w:val="0"/>
            <w:vAlign w:val="center"/>
          </w:tcPr>
          <w:p w14:paraId="731C4294">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承诺</w:t>
            </w:r>
          </w:p>
        </w:tc>
        <w:tc>
          <w:tcPr>
            <w:tcW w:w="7181" w:type="dxa"/>
            <w:noWrap w:val="0"/>
            <w:vAlign w:val="center"/>
          </w:tcPr>
          <w:p w14:paraId="4238FBAC">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both"/>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竞价确认后的中标人须在签订合同</w:t>
            </w:r>
            <w:r>
              <w:rPr>
                <w:rFonts w:hint="eastAsia" w:ascii="仿宋_GB2312" w:hAnsi="仿宋_GB2312" w:eastAsia="仿宋_GB2312" w:cs="仿宋_GB2312"/>
                <w:b w:val="0"/>
                <w:bCs w:val="0"/>
                <w:color w:val="auto"/>
                <w:sz w:val="32"/>
                <w:szCs w:val="32"/>
                <w:u w:val="none"/>
                <w:vertAlign w:val="baseline"/>
                <w:lang w:val="en-US" w:eastAsia="zh-CN"/>
              </w:rPr>
              <w:t>后规定期限内</w:t>
            </w:r>
            <w:r>
              <w:rPr>
                <w:rFonts w:hint="eastAsia" w:ascii="仿宋_GB2312" w:hAnsi="仿宋_GB2312" w:eastAsia="仿宋_GB2312" w:cs="仿宋_GB2312"/>
                <w:b w:val="0"/>
                <w:bCs w:val="0"/>
                <w:sz w:val="32"/>
                <w:szCs w:val="32"/>
                <w:u w:val="none"/>
                <w:vertAlign w:val="baseline"/>
                <w:lang w:val="en-US" w:eastAsia="zh-CN"/>
              </w:rPr>
              <w:t>完成全部工作内容，出具书面承诺书经单位法定代表人签字或盖章并加盖单位公章，否则竞价无效，采购人有权拒签合同。</w:t>
            </w:r>
          </w:p>
        </w:tc>
      </w:tr>
      <w:tr w14:paraId="426CC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7" w:hRule="atLeast"/>
        </w:trPr>
        <w:tc>
          <w:tcPr>
            <w:tcW w:w="1768" w:type="dxa"/>
            <w:noWrap w:val="0"/>
            <w:vAlign w:val="center"/>
          </w:tcPr>
          <w:p w14:paraId="1AA7973F">
            <w:pPr>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eastAsia" w:ascii="仿宋_GB2312" w:hAnsi="仿宋_GB2312" w:eastAsia="仿宋_GB2312" w:cs="仿宋_GB2312"/>
                <w:b w:val="0"/>
                <w:bCs w:val="0"/>
                <w:sz w:val="32"/>
                <w:szCs w:val="32"/>
                <w:u w:val="none"/>
                <w:vertAlign w:val="baseline"/>
                <w:lang w:val="en-US" w:eastAsia="zh-CN"/>
              </w:rPr>
            </w:pPr>
            <w:r>
              <w:rPr>
                <w:rFonts w:hint="eastAsia" w:ascii="仿宋_GB2312" w:hAnsi="仿宋_GB2312" w:eastAsia="仿宋_GB2312" w:cs="仿宋_GB2312"/>
                <w:b w:val="0"/>
                <w:bCs w:val="0"/>
                <w:sz w:val="32"/>
                <w:szCs w:val="32"/>
                <w:u w:val="none"/>
                <w:vertAlign w:val="baseline"/>
                <w:lang w:val="en-US" w:eastAsia="zh-CN"/>
              </w:rPr>
              <w:t>其他要求</w:t>
            </w:r>
          </w:p>
        </w:tc>
        <w:tc>
          <w:tcPr>
            <w:tcW w:w="7181" w:type="dxa"/>
            <w:noWrap w:val="0"/>
            <w:vAlign w:val="center"/>
          </w:tcPr>
          <w:p w14:paraId="3D4FE299">
            <w:pPr>
              <w:pStyle w:val="3"/>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b w:val="0"/>
                <w:bCs w:val="0"/>
                <w:kern w:val="2"/>
                <w:sz w:val="32"/>
                <w:szCs w:val="32"/>
                <w:u w:val="none"/>
                <w:vertAlign w:val="baseline"/>
                <w:lang w:val="en-US" w:eastAsia="zh-CN" w:bidi="ar-SA"/>
              </w:rPr>
            </w:pPr>
            <w:r>
              <w:rPr>
                <w:rFonts w:hint="eastAsia" w:ascii="仿宋_GB2312" w:hAnsi="仿宋_GB2312" w:eastAsia="仿宋_GB2312" w:cs="仿宋_GB2312"/>
                <w:b w:val="0"/>
                <w:bCs w:val="0"/>
                <w:kern w:val="2"/>
                <w:sz w:val="32"/>
                <w:szCs w:val="32"/>
                <w:u w:val="none"/>
                <w:lang w:val="en-US" w:eastAsia="zh-CN" w:bidi="ar-SA"/>
              </w:rPr>
              <w:t>1.在竞价结束1个工作日内带齐资格审查材料去现场参与资格审查，</w:t>
            </w:r>
            <w:r>
              <w:rPr>
                <w:rFonts w:hint="eastAsia" w:ascii="仿宋_GB2312" w:hAnsi="仿宋_GB2312" w:eastAsia="仿宋_GB2312" w:cs="仿宋_GB2312"/>
                <w:b w:val="0"/>
                <w:bCs w:val="0"/>
                <w:kern w:val="2"/>
                <w:sz w:val="32"/>
                <w:szCs w:val="32"/>
                <w:u w:val="none"/>
                <w:vertAlign w:val="baseline"/>
                <w:lang w:val="en-US" w:eastAsia="zh-CN" w:bidi="ar-SA"/>
              </w:rPr>
              <w:t>如发现提供材料不符合资格要求或提供虚假材料从事竞价活动的，采购人有权取消其中标资格。</w:t>
            </w:r>
          </w:p>
          <w:p w14:paraId="02A216CC">
            <w:pPr>
              <w:keepNext w:val="0"/>
              <w:keepLines w:val="0"/>
              <w:pageBreakBefore w:val="0"/>
              <w:numPr>
                <w:ilvl w:val="0"/>
                <w:numId w:val="0"/>
              </w:numPr>
              <w:kinsoku/>
              <w:wordWrap/>
              <w:overflowPunct/>
              <w:topLinePunct w:val="0"/>
              <w:autoSpaceDE/>
              <w:autoSpaceDN/>
              <w:bidi w:val="0"/>
              <w:adjustRightInd/>
              <w:snapToGrid/>
              <w:spacing w:line="580" w:lineRule="exact"/>
              <w:textAlignment w:val="auto"/>
              <w:rPr>
                <w:rFonts w:hint="default"/>
                <w:lang w:val="en-US" w:eastAsia="zh-CN"/>
              </w:rPr>
            </w:pPr>
            <w:r>
              <w:rPr>
                <w:rFonts w:hint="eastAsia" w:ascii="仿宋_GB2312" w:hAnsi="仿宋_GB2312" w:eastAsia="仿宋_GB2312" w:cs="仿宋_GB2312"/>
                <w:b w:val="0"/>
                <w:bCs w:val="0"/>
                <w:kern w:val="2"/>
                <w:sz w:val="32"/>
                <w:szCs w:val="32"/>
                <w:u w:val="none"/>
                <w:vertAlign w:val="baseline"/>
                <w:lang w:val="en-US" w:eastAsia="zh-CN" w:bidi="ar-SA"/>
              </w:rPr>
              <w:t>2.不具备资质参与竞标或报价明显低于成本的供应商视为恶意竞争，采购人有权予以废标并重新开展竞价活动，同时将上报问题并追究相关责任。</w:t>
            </w:r>
          </w:p>
        </w:tc>
      </w:tr>
    </w:tbl>
    <w:p w14:paraId="3292763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jc w:val="left"/>
        <w:textAlignment w:val="auto"/>
        <w:rPr>
          <w:rFonts w:hint="eastAsia" w:ascii="黑体" w:hAnsi="黑体" w:eastAsia="黑体" w:cs="黑体"/>
          <w:b w:val="0"/>
          <w:bCs w:val="0"/>
          <w:kern w:val="2"/>
          <w:sz w:val="32"/>
          <w:szCs w:val="32"/>
          <w:lang w:val="en-US" w:eastAsia="zh-CN" w:bidi="ar-SA"/>
        </w:rPr>
      </w:pPr>
      <w:r>
        <w:rPr>
          <w:rFonts w:hint="eastAsia" w:ascii="黑体" w:hAnsi="黑体" w:eastAsia="黑体" w:cs="黑体"/>
          <w:b w:val="0"/>
          <w:bCs w:val="0"/>
          <w:kern w:val="2"/>
          <w:sz w:val="32"/>
          <w:szCs w:val="32"/>
          <w:lang w:val="en-US" w:eastAsia="zh-CN" w:bidi="ar-SA"/>
        </w:rPr>
        <w:t>三、供应商资格要求</w:t>
      </w:r>
    </w:p>
    <w:p w14:paraId="060BF53B">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1.具备《中华人民共和国政府采购法》第二十二条规定的条件。</w:t>
      </w:r>
    </w:p>
    <w:p w14:paraId="478E666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2.供应商具有独立法人资格，具有有效的营业执照副本（统一社会信用代码证）；</w:t>
      </w:r>
    </w:p>
    <w:p w14:paraId="687B121C">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3.供应商需同时具有工程监理资质、检测资质及造价资质。</w:t>
      </w:r>
    </w:p>
    <w:p w14:paraId="483C228B">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4.项目负责人应具备相关专业的中级及以上资格证书，并提供近三个月社保证明。</w:t>
      </w:r>
    </w:p>
    <w:p w14:paraId="787A702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5.具有依法缴纳税收和社会保障资金的良好记录，提供2025年1月以来任意连续三个月依法缴纳税收和社会保障资金的证明材料，依法免税或不需要缴纳社会保障资金的供应商，提供相应证明文件。</w:t>
      </w:r>
    </w:p>
    <w:p w14:paraId="34E721F2">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6.具有履行合同所必需的设备和专业技术能力，提供书面承诺并加盖单位公章（格式自拟）。</w:t>
      </w:r>
    </w:p>
    <w:p w14:paraId="3ED5E36B">
      <w:pPr>
        <w:pStyle w:val="5"/>
        <w:keepNext w:val="0"/>
        <w:keepLines w:val="0"/>
        <w:pageBreakBefore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kern w:val="2"/>
          <w:sz w:val="32"/>
          <w:szCs w:val="32"/>
          <w:u w:val="none"/>
          <w:lang w:val="en-US" w:eastAsia="zh-CN" w:bidi="ar-SA"/>
        </w:rPr>
        <w:t>7.</w:t>
      </w:r>
      <w:r>
        <w:rPr>
          <w:rFonts w:hint="eastAsia" w:ascii="仿宋_GB2312" w:hAnsi="仿宋_GB2312" w:eastAsia="仿宋_GB2312" w:cs="仿宋_GB2312"/>
          <w:b w:val="0"/>
          <w:bCs w:val="0"/>
          <w:sz w:val="32"/>
          <w:szCs w:val="32"/>
          <w:u w:val="none"/>
          <w:lang w:val="en-US" w:eastAsia="zh-CN"/>
        </w:rPr>
        <w:t>参加政府采购活动近三年内，在经营活动中没有重大违法记录，提供近三年无重大违法记录书面声明并加盖单位公章（格式自拟）。</w:t>
      </w:r>
    </w:p>
    <w:p w14:paraId="66CB4245">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8.具有良好的商业信誉和健全的财务会计制度，提供2024年度财务审计报告（企业成立年份不足一年的，提供近3个月的财务报表）。</w:t>
      </w:r>
    </w:p>
    <w:p w14:paraId="28D2ABE8">
      <w:pPr>
        <w:keepNext w:val="0"/>
        <w:keepLines w:val="0"/>
        <w:pageBreakBefore w:val="0"/>
        <w:widowControl/>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u w:val="none"/>
          <w:lang w:val="en-US" w:eastAsia="zh-CN"/>
        </w:rPr>
      </w:pPr>
      <w:r>
        <w:rPr>
          <w:rFonts w:hint="eastAsia" w:ascii="仿宋_GB2312" w:hAnsi="仿宋_GB2312" w:eastAsia="仿宋_GB2312" w:cs="仿宋_GB2312"/>
          <w:b w:val="0"/>
          <w:bCs w:val="0"/>
          <w:sz w:val="32"/>
          <w:szCs w:val="32"/>
          <w:u w:val="none"/>
          <w:lang w:val="en-US" w:eastAsia="zh-CN"/>
        </w:rPr>
        <w:t>9.根据《关于在政府采购活动中查询及使用信用记录有关问题的通知》（财库[2016]125号）的规定，对列入失信被执行人、</w:t>
      </w:r>
      <w:r>
        <w:rPr>
          <w:rFonts w:hint="eastAsia" w:ascii="仿宋_GB2312" w:hAnsi="仿宋_GB2312" w:eastAsia="仿宋_GB2312" w:cs="仿宋_GB2312"/>
          <w:b w:val="0"/>
          <w:bCs w:val="0"/>
          <w:sz w:val="32"/>
          <w:szCs w:val="32"/>
          <w:u w:val="none"/>
          <w:lang w:val="en-US" w:eastAsia="zh-CN"/>
        </w:rPr>
        <w:fldChar w:fldCharType="begin"/>
      </w:r>
      <w:r>
        <w:rPr>
          <w:rFonts w:hint="eastAsia" w:ascii="仿宋_GB2312" w:hAnsi="仿宋_GB2312" w:eastAsia="仿宋_GB2312" w:cs="仿宋_GB2312"/>
          <w:b w:val="0"/>
          <w:bCs w:val="0"/>
          <w:sz w:val="32"/>
          <w:szCs w:val="32"/>
          <w:u w:val="none"/>
          <w:lang w:val="en-US" w:eastAsia="zh-CN"/>
        </w:rPr>
        <w:instrText xml:space="preserve"> HYPERLINK "https://www.creditchina.gov.cn/zhuanxiangchaxun/zhongdashuishouweifaanjian/" </w:instrText>
      </w:r>
      <w:r>
        <w:rPr>
          <w:rFonts w:hint="eastAsia" w:ascii="仿宋_GB2312" w:hAnsi="仿宋_GB2312" w:eastAsia="仿宋_GB2312" w:cs="仿宋_GB2312"/>
          <w:b w:val="0"/>
          <w:bCs w:val="0"/>
          <w:sz w:val="32"/>
          <w:szCs w:val="32"/>
          <w:u w:val="none"/>
          <w:lang w:val="en-US" w:eastAsia="zh-CN"/>
        </w:rPr>
        <w:fldChar w:fldCharType="separate"/>
      </w:r>
      <w:r>
        <w:rPr>
          <w:rFonts w:hint="eastAsia" w:ascii="仿宋_GB2312" w:hAnsi="仿宋_GB2312" w:eastAsia="仿宋_GB2312" w:cs="仿宋_GB2312"/>
          <w:b w:val="0"/>
          <w:bCs w:val="0"/>
          <w:sz w:val="32"/>
          <w:szCs w:val="32"/>
          <w:u w:val="none"/>
          <w:lang w:val="en-US" w:eastAsia="zh-CN"/>
        </w:rPr>
        <w:t>重大税收违法失信主体名单</w:t>
      </w:r>
      <w:r>
        <w:rPr>
          <w:rFonts w:hint="eastAsia" w:ascii="仿宋_GB2312" w:hAnsi="仿宋_GB2312" w:eastAsia="仿宋_GB2312" w:cs="仿宋_GB2312"/>
          <w:b w:val="0"/>
          <w:bCs w:val="0"/>
          <w:sz w:val="32"/>
          <w:szCs w:val="32"/>
          <w:u w:val="none"/>
          <w:lang w:val="en-US" w:eastAsia="zh-CN"/>
        </w:rPr>
        <w:fldChar w:fldCharType="end"/>
      </w:r>
      <w:r>
        <w:rPr>
          <w:rFonts w:hint="eastAsia" w:ascii="仿宋_GB2312" w:hAnsi="仿宋_GB2312" w:eastAsia="仿宋_GB2312" w:cs="仿宋_GB2312"/>
          <w:b w:val="0"/>
          <w:bCs w:val="0"/>
          <w:sz w:val="32"/>
          <w:szCs w:val="32"/>
          <w:u w:val="none"/>
          <w:lang w:val="en-US" w:eastAsia="zh-CN"/>
        </w:rPr>
        <w:t>、政府采购严重违法失信行为记录名单的投标者，拒绝参与本项目政府采购活动；查询渠道：“信用中国”网（www.creditchina.gov.cn）、中国政府采购网（www.ccgp.gov.cn），查询时间为公告发布日期之后。</w:t>
      </w:r>
    </w:p>
    <w:p w14:paraId="351CC7C4">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u w:val="none"/>
          <w:lang w:val="en-US" w:eastAsia="zh-CN" w:bidi="ar-SA"/>
        </w:rPr>
      </w:pPr>
      <w:r>
        <w:rPr>
          <w:rFonts w:hint="eastAsia" w:ascii="黑体" w:hAnsi="黑体" w:eastAsia="黑体" w:cs="黑体"/>
          <w:b w:val="0"/>
          <w:bCs w:val="0"/>
          <w:kern w:val="2"/>
          <w:sz w:val="32"/>
          <w:szCs w:val="32"/>
          <w:u w:val="none"/>
          <w:lang w:val="en-US" w:eastAsia="zh-CN" w:bidi="ar-SA"/>
        </w:rPr>
        <w:t>四、公告期限</w:t>
      </w:r>
    </w:p>
    <w:p w14:paraId="7567A25B">
      <w:pPr>
        <w:pStyle w:val="3"/>
        <w:keepNext w:val="0"/>
        <w:keepLines w:val="0"/>
        <w:pageBreakBefore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本次公告在《驻马店市政府电子采购商城》上发布，公告期为1个工作日。</w:t>
      </w:r>
    </w:p>
    <w:p w14:paraId="59A140E5">
      <w:pPr>
        <w:pStyle w:val="4"/>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b w:val="0"/>
          <w:bCs w:val="0"/>
          <w:kern w:val="2"/>
          <w:sz w:val="32"/>
          <w:szCs w:val="32"/>
          <w:u w:val="none"/>
          <w:lang w:val="en-US" w:eastAsia="zh-CN" w:bidi="ar-SA"/>
        </w:rPr>
      </w:pPr>
      <w:r>
        <w:rPr>
          <w:rFonts w:hint="eastAsia" w:ascii="黑体" w:hAnsi="黑体" w:eastAsia="黑体" w:cs="黑体"/>
          <w:b w:val="0"/>
          <w:bCs w:val="0"/>
          <w:kern w:val="2"/>
          <w:sz w:val="32"/>
          <w:szCs w:val="32"/>
          <w:u w:val="none"/>
          <w:lang w:val="en-US" w:eastAsia="zh-CN" w:bidi="ar-SA"/>
        </w:rPr>
        <w:t>五、采购人信息</w:t>
      </w:r>
    </w:p>
    <w:p w14:paraId="46C61331">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名称：驿城区农业农村局</w:t>
      </w:r>
    </w:p>
    <w:p w14:paraId="1A8D726B">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地址：驻马店市解放路1163号驿城区政府1号楼532房间</w:t>
      </w:r>
    </w:p>
    <w:p w14:paraId="07AE92CC">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eastAsia" w:ascii="仿宋_GB2312" w:hAnsi="仿宋_GB2312" w:eastAsia="仿宋_GB2312" w:cs="仿宋_GB2312"/>
          <w:b w:val="0"/>
          <w:bCs w:val="0"/>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联系人：王先生</w:t>
      </w:r>
    </w:p>
    <w:p w14:paraId="5FA65B63">
      <w:pPr>
        <w:pStyle w:val="3"/>
        <w:keepNext w:val="0"/>
        <w:keepLines w:val="0"/>
        <w:pageBreakBefore w:val="0"/>
        <w:widowControl w:val="0"/>
        <w:kinsoku/>
        <w:wordWrap/>
        <w:overflowPunct/>
        <w:topLinePunct w:val="0"/>
        <w:autoSpaceDE/>
        <w:autoSpaceDN/>
        <w:bidi w:val="0"/>
        <w:adjustRightInd/>
        <w:snapToGrid/>
        <w:spacing w:after="0" w:line="580" w:lineRule="exact"/>
        <w:ind w:firstLine="640" w:firstLineChars="200"/>
        <w:textAlignment w:val="auto"/>
        <w:rPr>
          <w:rFonts w:hint="default" w:ascii="仿宋_GB2312" w:hAnsi="仿宋_GB2312" w:eastAsia="仿宋_GB2312" w:cs="仿宋_GB2312"/>
          <w:b w:val="0"/>
          <w:bCs w:val="0"/>
          <w:color w:val="auto"/>
          <w:kern w:val="2"/>
          <w:sz w:val="32"/>
          <w:szCs w:val="32"/>
          <w:u w:val="none"/>
          <w:lang w:val="en-US" w:eastAsia="zh-CN" w:bidi="ar-SA"/>
        </w:rPr>
      </w:pPr>
      <w:r>
        <w:rPr>
          <w:rFonts w:hint="eastAsia" w:ascii="仿宋_GB2312" w:hAnsi="仿宋_GB2312" w:eastAsia="仿宋_GB2312" w:cs="仿宋_GB2312"/>
          <w:b w:val="0"/>
          <w:bCs w:val="0"/>
          <w:kern w:val="2"/>
          <w:sz w:val="32"/>
          <w:szCs w:val="32"/>
          <w:u w:val="none"/>
          <w:lang w:val="en-US" w:eastAsia="zh-CN" w:bidi="ar-SA"/>
        </w:rPr>
        <w:t>联系电话：2828053</w:t>
      </w:r>
    </w:p>
    <w:p w14:paraId="1E2C469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DD781EE-CA87-427C-A9B2-40A6C494478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5D5957B-F1B3-4EA8-9C8A-072432DD9B09}"/>
  </w:font>
  <w:font w:name="方正小标宋简体">
    <w:panose1 w:val="02000000000000000000"/>
    <w:charset w:val="86"/>
    <w:family w:val="auto"/>
    <w:pitch w:val="default"/>
    <w:sig w:usb0="00000001" w:usb1="08000000" w:usb2="00000000" w:usb3="00000000" w:csb0="00040000" w:csb1="00000000"/>
    <w:embedRegular r:id="rId3" w:fontKey="{2B3B12F7-1827-40F6-A470-88B4625E097A}"/>
  </w:font>
  <w:font w:name="仿宋_GB2312">
    <w:panose1 w:val="02010609030101010101"/>
    <w:charset w:val="86"/>
    <w:family w:val="auto"/>
    <w:pitch w:val="default"/>
    <w:sig w:usb0="00000001" w:usb1="080E0000" w:usb2="00000000" w:usb3="00000000" w:csb0="00040000" w:csb1="00000000"/>
    <w:embedRegular r:id="rId4" w:fontKey="{CBAF9053-E5BB-4503-8DA5-9CCBF2D6C95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7863C9"/>
    <w:rsid w:val="07C344EE"/>
    <w:rsid w:val="2F3E339E"/>
    <w:rsid w:val="34727311"/>
    <w:rsid w:val="3D7863C9"/>
    <w:rsid w:val="3E1B2DC9"/>
    <w:rsid w:val="3F455F80"/>
    <w:rsid w:val="4ABE4996"/>
    <w:rsid w:val="537E7F04"/>
    <w:rsid w:val="5ACE6EE1"/>
    <w:rsid w:val="5D4F0DFC"/>
    <w:rsid w:val="64CE5AB9"/>
    <w:rsid w:val="65A9216A"/>
    <w:rsid w:val="69F11352"/>
    <w:rsid w:val="6E0F2F9F"/>
    <w:rsid w:val="76780D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adjustRightInd/>
      <w:spacing w:after="120"/>
      <w:ind w:firstLine="420"/>
      <w:jc w:val="both"/>
      <w:textAlignment w:val="auto"/>
    </w:pPr>
    <w:rPr>
      <w:rFonts w:ascii="Times New Roman"/>
      <w:kern w:val="2"/>
      <w:sz w:val="32"/>
    </w:rPr>
  </w:style>
  <w:style w:type="paragraph" w:styleId="3">
    <w:name w:val="Body Text"/>
    <w:basedOn w:val="1"/>
    <w:next w:val="4"/>
    <w:qFormat/>
    <w:uiPriority w:val="0"/>
    <w:pPr>
      <w:spacing w:after="120"/>
    </w:pPr>
    <w:rPr>
      <w:kern w:val="0"/>
      <w:sz w:val="20"/>
      <w:szCs w:val="20"/>
    </w:rPr>
  </w:style>
  <w:style w:type="paragraph" w:styleId="4">
    <w:name w:val="Body Text 2"/>
    <w:basedOn w:val="1"/>
    <w:next w:val="3"/>
    <w:qFormat/>
    <w:uiPriority w:val="99"/>
    <w:pPr>
      <w:spacing w:line="480" w:lineRule="auto"/>
    </w:pPr>
    <w:rPr>
      <w:rFonts w:ascii="Calibri" w:hAnsi="Calibri"/>
    </w:rPr>
  </w:style>
  <w:style w:type="paragraph" w:styleId="5">
    <w:name w:val="Body Text Indent 2"/>
    <w:basedOn w:val="1"/>
    <w:unhideWhenUsed/>
    <w:qFormat/>
    <w:uiPriority w:val="99"/>
    <w:pPr>
      <w:spacing w:after="120" w:line="480" w:lineRule="auto"/>
      <w:ind w:left="420" w:leftChars="200"/>
    </w:pPr>
    <w:rPr>
      <w:rFonts w:ascii="Calibri" w:hAnsi="Calibri" w:eastAsia="宋体" w:cs="Times New Roman"/>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Body text|1"/>
    <w:basedOn w:val="1"/>
    <w:qFormat/>
    <w:uiPriority w:val="0"/>
    <w:pPr>
      <w:widowControl w:val="0"/>
      <w:shd w:val="clear" w:color="auto" w:fill="auto"/>
      <w:spacing w:line="444" w:lineRule="auto"/>
      <w:ind w:firstLine="23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1117</Words>
  <Characters>1207</Characters>
  <Lines>0</Lines>
  <Paragraphs>0</Paragraphs>
  <TotalTime>23</TotalTime>
  <ScaleCrop>false</ScaleCrop>
  <LinksUpToDate>false</LinksUpToDate>
  <CharactersWithSpaces>1213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2025-11-13T00:42:00Z</dcterms:created>
  <dc:creator>馨</dc:creator>
  <cp:lastModifiedBy>随缘</cp:lastModifiedBy>
  <dcterms:modified xsi:type="dcterms:W3CDTF">2026-05-12T07:14:44Z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BA2671C836224353B0F8AF6C467D9D00_13</vt:lpwstr>
  </property>
  <property fmtid="{D5CDD505-2E9C-101B-9397-08002B2CF9AE}" pid="4" name="KSOTemplateDocerSaveRecord">
    <vt:lpwstr>eyJoZGlkIjoiOWVjOGNiNDZmZDQyNzNmNmQ2NTZkODFiOGVmZTI1MGEiLCJ1c2VySWQiOiI1NjMwNTg4ODQifQ==</vt:lpwstr>
  </property>
</Properties>
</file>