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49EF5">
      <w:pPr>
        <w:pStyle w:val="5"/>
        <w:keepNext w:val="0"/>
        <w:keepLines w:val="0"/>
        <w:pageBreakBefore w:val="0"/>
        <w:widowControl w:val="0"/>
        <w:overflowPunct w:val="0"/>
        <w:bidi w:val="0"/>
        <w:snapToGrid/>
        <w:spacing w:line="360" w:lineRule="auto"/>
        <w:ind w:left="0" w:leftChars="0"/>
        <w:jc w:val="center"/>
        <w:textAlignment w:val="auto"/>
        <w:rPr>
          <w:rFonts w:hint="eastAsia" w:ascii="仿宋" w:hAnsi="仿宋" w:eastAsia="仿宋" w:cs="仿宋"/>
          <w:b/>
          <w:bCs/>
          <w:color w:val="auto"/>
          <w:sz w:val="36"/>
          <w:szCs w:val="44"/>
          <w:lang w:eastAsia="zh-CN"/>
        </w:rPr>
      </w:pPr>
      <w:r>
        <w:rPr>
          <w:rFonts w:hint="eastAsia" w:ascii="仿宋" w:hAnsi="仿宋" w:eastAsia="仿宋" w:cs="仿宋"/>
          <w:b/>
          <w:bCs/>
          <w:color w:val="auto"/>
          <w:sz w:val="40"/>
          <w:szCs w:val="48"/>
          <w:lang w:eastAsia="zh-CN"/>
        </w:rPr>
        <w:t>招标（采购）需求</w:t>
      </w:r>
    </w:p>
    <w:p w14:paraId="5FD7D302">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hint="eastAsia" w:ascii="仿宋" w:hAnsi="仿宋" w:eastAsia="仿宋" w:cs="仿宋"/>
          <w:b/>
          <w:bCs/>
          <w:color w:val="auto"/>
          <w:sz w:val="32"/>
          <w:szCs w:val="40"/>
          <w:lang w:val="en-US" w:eastAsia="zh-CN"/>
        </w:rPr>
      </w:pPr>
    </w:p>
    <w:p w14:paraId="1549206C">
      <w:pPr>
        <w:pStyle w:val="5"/>
        <w:keepNext w:val="0"/>
        <w:keepLines w:val="0"/>
        <w:pageBreakBefore w:val="0"/>
        <w:widowControl w:val="0"/>
        <w:numPr>
          <w:ilvl w:val="0"/>
          <w:numId w:val="1"/>
        </w:numPr>
        <w:overflowPunct w:val="0"/>
        <w:bidi w:val="0"/>
        <w:snapToGrid/>
        <w:spacing w:line="360" w:lineRule="auto"/>
        <w:ind w:left="0" w:leftChars="0" w:firstLine="0"/>
        <w:jc w:val="left"/>
        <w:textAlignment w:val="auto"/>
        <w:rPr>
          <w:rFonts w:hint="eastAsia" w:ascii="仿宋" w:hAnsi="仿宋" w:eastAsia="仿宋" w:cs="仿宋"/>
          <w:b w:val="0"/>
          <w:bCs w:val="0"/>
          <w:color w:val="auto"/>
          <w:spacing w:val="-20"/>
          <w:sz w:val="32"/>
          <w:szCs w:val="40"/>
          <w:u w:val="single"/>
          <w:shd w:val="clear" w:fill="auto"/>
          <w:lang w:val="en-US" w:eastAsia="zh-CN"/>
        </w:rPr>
      </w:pPr>
      <w:r>
        <w:rPr>
          <w:rFonts w:hint="eastAsia" w:ascii="仿宋" w:hAnsi="仿宋" w:eastAsia="仿宋" w:cs="仿宋"/>
          <w:b/>
          <w:bCs/>
          <w:color w:val="auto"/>
          <w:sz w:val="32"/>
          <w:szCs w:val="40"/>
          <w:lang w:val="en-US" w:eastAsia="zh-CN"/>
        </w:rPr>
        <w:t>项目名称：</w:t>
      </w:r>
      <w:r>
        <w:rPr>
          <w:rFonts w:hint="eastAsia" w:ascii="仿宋" w:hAnsi="仿宋" w:eastAsia="仿宋" w:cs="仿宋"/>
          <w:sz w:val="32"/>
          <w:szCs w:val="32"/>
          <w:u w:val="single"/>
        </w:rPr>
        <w:t>西平县2026年干线公路安全设施精细化</w:t>
      </w:r>
      <w:r>
        <w:rPr>
          <w:rFonts w:hint="eastAsia" w:ascii="仿宋" w:hAnsi="仿宋" w:eastAsia="仿宋" w:cs="仿宋"/>
          <w:sz w:val="32"/>
          <w:szCs w:val="32"/>
          <w:u w:val="single"/>
          <w:lang w:val="en-US" w:eastAsia="zh-CN"/>
        </w:rPr>
        <w:t>提升工程</w:t>
      </w:r>
      <w:r>
        <w:rPr>
          <w:rFonts w:hint="eastAsia" w:ascii="仿宋" w:hAnsi="仿宋" w:eastAsia="仿宋" w:cs="仿宋"/>
          <w:sz w:val="32"/>
          <w:szCs w:val="32"/>
          <w:u w:val="single"/>
        </w:rPr>
        <w:t>施工图</w:t>
      </w:r>
      <w:r>
        <w:rPr>
          <w:rFonts w:hint="eastAsia" w:ascii="仿宋" w:hAnsi="仿宋" w:eastAsia="仿宋" w:cs="仿宋"/>
          <w:b w:val="0"/>
          <w:bCs w:val="0"/>
          <w:color w:val="auto"/>
          <w:spacing w:val="-20"/>
          <w:sz w:val="32"/>
          <w:szCs w:val="40"/>
          <w:u w:val="single"/>
          <w:shd w:val="clear" w:fill="auto"/>
          <w:lang w:val="en-US" w:eastAsia="zh-CN"/>
        </w:rPr>
        <w:t>设计</w:t>
      </w:r>
      <w:r>
        <w:rPr>
          <w:rFonts w:hint="eastAsia" w:ascii="仿宋" w:hAnsi="仿宋" w:eastAsia="仿宋" w:cs="仿宋"/>
          <w:b w:val="0"/>
          <w:bCs w:val="0"/>
          <w:color w:val="auto"/>
          <w:spacing w:val="-20"/>
          <w:sz w:val="32"/>
          <w:szCs w:val="32"/>
          <w:u w:val="single"/>
          <w:shd w:val="clear" w:fill="auto"/>
          <w:lang w:val="en-US" w:eastAsia="zh-CN"/>
        </w:rPr>
        <w:t>。</w:t>
      </w:r>
    </w:p>
    <w:p w14:paraId="04FB4CD6">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hint="eastAsia" w:ascii="仿宋" w:hAnsi="仿宋" w:eastAsia="仿宋" w:cs="仿宋"/>
          <w:b w:val="0"/>
          <w:bCs w:val="0"/>
          <w:color w:val="auto"/>
          <w:spacing w:val="-20"/>
          <w:sz w:val="32"/>
          <w:szCs w:val="40"/>
          <w:u w:val="single"/>
          <w:lang w:val="en-US" w:eastAsia="zh-CN"/>
        </w:rPr>
      </w:pPr>
      <w:r>
        <w:rPr>
          <w:rFonts w:hint="eastAsia" w:ascii="仿宋" w:hAnsi="仿宋" w:eastAsia="仿宋" w:cs="仿宋"/>
          <w:b/>
          <w:bCs/>
          <w:color w:val="auto"/>
          <w:spacing w:val="-20"/>
          <w:sz w:val="32"/>
          <w:szCs w:val="40"/>
          <w:lang w:val="en-US" w:eastAsia="zh-CN"/>
        </w:rPr>
        <w:t>2、资金来源：</w:t>
      </w:r>
      <w:r>
        <w:rPr>
          <w:rFonts w:hint="eastAsia" w:ascii="仿宋" w:hAnsi="仿宋" w:eastAsia="仿宋" w:cs="仿宋"/>
          <w:b w:val="0"/>
          <w:bCs w:val="0"/>
          <w:color w:val="auto"/>
          <w:spacing w:val="-20"/>
          <w:sz w:val="32"/>
          <w:szCs w:val="40"/>
          <w:u w:val="single"/>
          <w:lang w:val="en-US" w:eastAsia="zh-CN"/>
        </w:rPr>
        <w:t xml:space="preserve"> </w:t>
      </w:r>
      <w:r>
        <w:rPr>
          <w:rFonts w:hint="eastAsia" w:ascii="仿宋" w:hAnsi="仿宋" w:eastAsia="仿宋" w:cs="仿宋"/>
          <w:b w:val="0"/>
          <w:bCs w:val="0"/>
          <w:color w:val="auto"/>
          <w:spacing w:val="-20"/>
          <w:sz w:val="32"/>
          <w:szCs w:val="40"/>
          <w:u w:val="single"/>
          <w:shd w:val="clear" w:fill="auto"/>
          <w:lang w:val="en-US" w:eastAsia="zh-CN"/>
        </w:rPr>
        <w:t>财政资金</w:t>
      </w:r>
      <w:r>
        <w:rPr>
          <w:rFonts w:hint="eastAsia" w:ascii="仿宋" w:hAnsi="仿宋" w:eastAsia="仿宋" w:cs="仿宋"/>
          <w:b w:val="0"/>
          <w:bCs w:val="0"/>
          <w:color w:val="auto"/>
          <w:spacing w:val="-20"/>
          <w:sz w:val="32"/>
          <w:szCs w:val="40"/>
          <w:u w:val="single"/>
          <w:lang w:val="en-US" w:eastAsia="zh-CN"/>
        </w:rPr>
        <w:t>。</w:t>
      </w:r>
    </w:p>
    <w:p w14:paraId="3D838B64">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hint="eastAsia" w:ascii="仿宋" w:hAnsi="仿宋" w:eastAsia="仿宋" w:cs="仿宋"/>
          <w:b/>
          <w:bCs/>
          <w:color w:val="auto"/>
          <w:spacing w:val="-20"/>
          <w:sz w:val="32"/>
          <w:szCs w:val="40"/>
          <w:u w:val="single"/>
          <w:lang w:val="en-US" w:eastAsia="zh-CN"/>
        </w:rPr>
      </w:pPr>
      <w:r>
        <w:rPr>
          <w:rFonts w:hint="eastAsia" w:ascii="仿宋" w:hAnsi="仿宋" w:eastAsia="仿宋" w:cs="仿宋"/>
          <w:b/>
          <w:bCs/>
          <w:color w:val="auto"/>
          <w:spacing w:val="-20"/>
          <w:sz w:val="32"/>
          <w:szCs w:val="40"/>
          <w:u w:val="none"/>
          <w:lang w:val="en-US" w:eastAsia="zh-CN"/>
        </w:rPr>
        <w:t>3、网上竞价最高限额：</w:t>
      </w:r>
      <w:r>
        <w:rPr>
          <w:rFonts w:hint="eastAsia" w:ascii="仿宋" w:hAnsi="仿宋" w:eastAsia="仿宋" w:cs="仿宋"/>
          <w:b/>
          <w:bCs/>
          <w:color w:val="auto"/>
          <w:spacing w:val="-20"/>
          <w:sz w:val="32"/>
          <w:szCs w:val="40"/>
          <w:u w:val="single"/>
          <w:lang w:val="en-US" w:eastAsia="zh-CN"/>
        </w:rPr>
        <w:t xml:space="preserve"> 120000</w:t>
      </w:r>
      <w:r>
        <w:rPr>
          <w:rFonts w:hint="eastAsia" w:ascii="仿宋" w:hAnsi="仿宋" w:eastAsia="仿宋" w:cs="仿宋"/>
          <w:b w:val="0"/>
          <w:bCs w:val="0"/>
          <w:color w:val="auto"/>
          <w:spacing w:val="-20"/>
          <w:sz w:val="32"/>
          <w:szCs w:val="40"/>
          <w:u w:val="single"/>
          <w:lang w:val="en-US" w:eastAsia="zh-CN"/>
        </w:rPr>
        <w:t>元</w:t>
      </w:r>
      <w:r>
        <w:rPr>
          <w:rFonts w:hint="eastAsia" w:ascii="仿宋" w:hAnsi="仿宋" w:eastAsia="仿宋" w:cs="仿宋"/>
          <w:b/>
          <w:bCs/>
          <w:color w:val="auto"/>
          <w:spacing w:val="-20"/>
          <w:sz w:val="32"/>
          <w:szCs w:val="40"/>
          <w:u w:val="single"/>
          <w:lang w:val="en-US" w:eastAsia="zh-CN"/>
        </w:rPr>
        <w:t xml:space="preserve">  </w:t>
      </w:r>
    </w:p>
    <w:p w14:paraId="51ADE4D9">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hint="eastAsia" w:ascii="仿宋" w:hAnsi="仿宋" w:eastAsia="仿宋" w:cs="仿宋"/>
          <w:b/>
          <w:bCs/>
          <w:color w:val="auto"/>
          <w:spacing w:val="-20"/>
          <w:sz w:val="32"/>
          <w:szCs w:val="40"/>
          <w:u w:val="none"/>
          <w:lang w:val="en-US" w:eastAsia="zh-CN"/>
        </w:rPr>
      </w:pPr>
      <w:r>
        <w:rPr>
          <w:rFonts w:hint="eastAsia" w:ascii="仿宋" w:hAnsi="仿宋" w:eastAsia="仿宋" w:cs="仿宋"/>
          <w:b/>
          <w:bCs/>
          <w:color w:val="auto"/>
          <w:spacing w:val="-20"/>
          <w:sz w:val="32"/>
          <w:szCs w:val="40"/>
          <w:u w:val="none"/>
          <w:lang w:val="en-US" w:eastAsia="zh-CN"/>
        </w:rPr>
        <w:t>一、技术需求(项目基本情况及工作内容、技术标准、质量要求，成果材料等)</w:t>
      </w:r>
    </w:p>
    <w:p w14:paraId="05525772">
      <w:pPr>
        <w:pStyle w:val="5"/>
        <w:keepNext w:val="0"/>
        <w:keepLines w:val="0"/>
        <w:pageBreakBefore w:val="0"/>
        <w:widowControl w:val="0"/>
        <w:numPr>
          <w:ilvl w:val="0"/>
          <w:numId w:val="0"/>
        </w:numPr>
        <w:overflowPunct w:val="0"/>
        <w:bidi w:val="0"/>
        <w:snapToGrid/>
        <w:spacing w:line="360" w:lineRule="auto"/>
        <w:ind w:left="0" w:leftChars="0" w:firstLine="560" w:firstLineChars="200"/>
        <w:jc w:val="left"/>
        <w:textAlignment w:val="auto"/>
        <w:rPr>
          <w:rFonts w:hint="eastAsia" w:ascii="仿宋" w:hAnsi="仿宋" w:eastAsia="仿宋" w:cs="仿宋"/>
          <w:color w:val="auto"/>
          <w:spacing w:val="-20"/>
          <w:highlight w:val="none"/>
          <w:lang w:val="en-US" w:eastAsia="zh-CN"/>
        </w:rPr>
      </w:pPr>
      <w:r>
        <w:rPr>
          <w:rFonts w:hint="eastAsia" w:ascii="仿宋" w:hAnsi="仿宋" w:eastAsia="仿宋" w:cs="仿宋"/>
          <w:b w:val="0"/>
          <w:bCs w:val="0"/>
          <w:color w:val="auto"/>
          <w:spacing w:val="-20"/>
          <w:sz w:val="32"/>
          <w:szCs w:val="40"/>
          <w:u w:val="none"/>
          <w:lang w:val="en-US" w:eastAsia="zh-CN"/>
        </w:rPr>
        <w:t>基本情况及工作内容:</w:t>
      </w:r>
      <w:r>
        <w:rPr>
          <w:rFonts w:hint="eastAsia" w:ascii="仿宋" w:hAnsi="仿宋" w:eastAsia="仿宋" w:cs="仿宋"/>
          <w:sz w:val="32"/>
          <w:szCs w:val="32"/>
          <w:u w:val="single"/>
        </w:rPr>
        <w:t>西平县2026年干线公路安全设施精细化</w:t>
      </w:r>
      <w:r>
        <w:rPr>
          <w:rFonts w:hint="eastAsia" w:ascii="仿宋" w:hAnsi="仿宋" w:eastAsia="仿宋" w:cs="仿宋"/>
          <w:sz w:val="32"/>
          <w:szCs w:val="32"/>
          <w:u w:val="single"/>
          <w:lang w:val="en-US" w:eastAsia="zh-CN"/>
        </w:rPr>
        <w:t>提升工程</w:t>
      </w:r>
      <w:r>
        <w:rPr>
          <w:rFonts w:hint="eastAsia" w:ascii="仿宋" w:hAnsi="仿宋" w:eastAsia="仿宋" w:cs="仿宋"/>
          <w:sz w:val="32"/>
          <w:szCs w:val="32"/>
          <w:u w:val="single"/>
        </w:rPr>
        <w:t>施工图</w:t>
      </w:r>
      <w:r>
        <w:rPr>
          <w:rFonts w:hint="eastAsia" w:ascii="仿宋" w:hAnsi="仿宋" w:eastAsia="仿宋" w:cs="仿宋"/>
          <w:b w:val="0"/>
          <w:bCs w:val="0"/>
          <w:color w:val="auto"/>
          <w:spacing w:val="-20"/>
          <w:sz w:val="32"/>
          <w:szCs w:val="40"/>
          <w:u w:val="single"/>
          <w:shd w:val="clear" w:fill="auto"/>
          <w:lang w:val="en-US" w:eastAsia="zh-CN"/>
        </w:rPr>
        <w:t>设计施工图设计</w:t>
      </w:r>
      <w:r>
        <w:rPr>
          <w:rFonts w:hint="eastAsia" w:ascii="仿宋" w:hAnsi="仿宋" w:eastAsia="仿宋" w:cs="仿宋"/>
          <w:b w:val="0"/>
          <w:bCs w:val="0"/>
          <w:color w:val="auto"/>
          <w:spacing w:val="-20"/>
          <w:sz w:val="32"/>
          <w:szCs w:val="40"/>
          <w:highlight w:val="none"/>
          <w:u w:val="none"/>
          <w:shd w:val="clear" w:fill="auto"/>
          <w:lang w:val="en-US" w:eastAsia="zh-CN"/>
        </w:rPr>
        <w:t>。</w:t>
      </w:r>
    </w:p>
    <w:p w14:paraId="281EF015">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hint="eastAsia" w:ascii="仿宋" w:hAnsi="仿宋" w:eastAsia="仿宋" w:cs="仿宋"/>
          <w:b w:val="0"/>
          <w:bCs w:val="0"/>
          <w:color w:val="auto"/>
          <w:spacing w:val="-20"/>
          <w:sz w:val="32"/>
          <w:szCs w:val="40"/>
          <w:highlight w:val="none"/>
          <w:u w:val="none"/>
          <w:lang w:val="en-US" w:eastAsia="zh-CN"/>
        </w:rPr>
      </w:pPr>
      <w:r>
        <w:rPr>
          <w:rFonts w:hint="eastAsia" w:ascii="仿宋" w:hAnsi="仿宋" w:eastAsia="仿宋" w:cs="仿宋"/>
          <w:b w:val="0"/>
          <w:bCs w:val="0"/>
          <w:color w:val="auto"/>
          <w:spacing w:val="-20"/>
          <w:sz w:val="32"/>
          <w:szCs w:val="40"/>
          <w:highlight w:val="none"/>
          <w:u w:val="none"/>
          <w:lang w:val="en-US" w:eastAsia="zh-CN"/>
        </w:rPr>
        <w:t xml:space="preserve">    技术标准：</w:t>
      </w:r>
      <w:r>
        <w:rPr>
          <w:rFonts w:hint="eastAsia" w:ascii="仿宋" w:hAnsi="仿宋" w:eastAsia="仿宋" w:cs="仿宋"/>
          <w:color w:val="auto"/>
          <w:spacing w:val="-20"/>
          <w:sz w:val="32"/>
          <w:szCs w:val="40"/>
        </w:rPr>
        <w:t>符合相关行业规定以及交通运输部颁发</w:t>
      </w:r>
      <w:bookmarkStart w:id="0" w:name="_GoBack"/>
      <w:bookmarkEnd w:id="0"/>
      <w:r>
        <w:rPr>
          <w:rFonts w:hint="eastAsia" w:ascii="仿宋" w:hAnsi="仿宋" w:eastAsia="仿宋" w:cs="仿宋"/>
          <w:color w:val="auto"/>
          <w:spacing w:val="-20"/>
          <w:sz w:val="32"/>
          <w:szCs w:val="40"/>
        </w:rPr>
        <w:t>的《公路工程技术标准》JTG B01-2014）以及相关技术规范要求。</w:t>
      </w:r>
    </w:p>
    <w:p w14:paraId="0B36CC41">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hint="eastAsia" w:ascii="仿宋" w:hAnsi="仿宋" w:eastAsia="仿宋" w:cs="仿宋"/>
          <w:b w:val="0"/>
          <w:bCs w:val="0"/>
          <w:color w:val="auto"/>
          <w:spacing w:val="-20"/>
          <w:sz w:val="32"/>
          <w:szCs w:val="40"/>
          <w:u w:val="none"/>
          <w:lang w:val="en-US" w:eastAsia="zh-CN"/>
        </w:rPr>
      </w:pPr>
      <w:r>
        <w:rPr>
          <w:rFonts w:hint="eastAsia" w:ascii="仿宋" w:hAnsi="仿宋" w:eastAsia="仿宋" w:cs="仿宋"/>
          <w:b w:val="0"/>
          <w:bCs w:val="0"/>
          <w:color w:val="auto"/>
          <w:spacing w:val="-20"/>
          <w:sz w:val="32"/>
          <w:szCs w:val="40"/>
          <w:u w:val="none"/>
          <w:lang w:val="en-US" w:eastAsia="zh-CN"/>
        </w:rPr>
        <w:t xml:space="preserve">    质量要求: 合格。 </w:t>
      </w:r>
    </w:p>
    <w:p w14:paraId="58A27D81">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hint="eastAsia" w:ascii="仿宋" w:hAnsi="仿宋" w:eastAsia="仿宋" w:cs="仿宋"/>
          <w:b/>
          <w:bCs/>
          <w:color w:val="auto"/>
          <w:spacing w:val="-20"/>
          <w:sz w:val="32"/>
          <w:szCs w:val="40"/>
          <w:u w:val="none"/>
          <w:lang w:val="en-US" w:eastAsia="zh-CN"/>
        </w:rPr>
      </w:pPr>
      <w:r>
        <w:rPr>
          <w:rFonts w:hint="eastAsia" w:ascii="仿宋" w:hAnsi="仿宋" w:eastAsia="仿宋" w:cs="仿宋"/>
          <w:b w:val="0"/>
          <w:bCs w:val="0"/>
          <w:color w:val="auto"/>
          <w:spacing w:val="-20"/>
          <w:sz w:val="32"/>
          <w:szCs w:val="40"/>
          <w:u w:val="none"/>
          <w:lang w:val="en-US" w:eastAsia="zh-CN"/>
        </w:rPr>
        <w:t xml:space="preserve"> 二、 </w:t>
      </w:r>
      <w:r>
        <w:rPr>
          <w:rFonts w:hint="eastAsia" w:ascii="仿宋" w:hAnsi="仿宋" w:eastAsia="仿宋" w:cs="仿宋"/>
          <w:b/>
          <w:bCs/>
          <w:color w:val="auto"/>
          <w:spacing w:val="-20"/>
          <w:sz w:val="32"/>
          <w:szCs w:val="40"/>
          <w:u w:val="none"/>
          <w:lang w:val="en-US" w:eastAsia="zh-CN"/>
        </w:rPr>
        <w:t>商务要求</w:t>
      </w:r>
    </w:p>
    <w:tbl>
      <w:tblPr>
        <w:tblStyle w:val="3"/>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6653"/>
      </w:tblGrid>
      <w:tr w14:paraId="1AC5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295" w:type="dxa"/>
            <w:vAlign w:val="center"/>
          </w:tcPr>
          <w:p w14:paraId="7200EF56">
            <w:pPr>
              <w:pStyle w:val="5"/>
              <w:keepNext w:val="0"/>
              <w:keepLines w:val="0"/>
              <w:widowControl w:val="0"/>
              <w:numPr>
                <w:ilvl w:val="0"/>
                <w:numId w:val="0"/>
              </w:numPr>
              <w:suppressAutoHyphens w:val="0"/>
              <w:overflowPunct w:val="0"/>
              <w:bidi w:val="0"/>
              <w:snapToGrid/>
              <w:spacing w:before="0" w:after="0" w:line="360" w:lineRule="auto"/>
              <w:ind w:left="0" w:leftChars="0" w:firstLine="0"/>
              <w:jc w:val="center"/>
              <w:textAlignment w:val="auto"/>
              <w:rPr>
                <w:rFonts w:hint="eastAsia" w:ascii="仿宋" w:hAnsi="仿宋" w:eastAsia="仿宋" w:cs="仿宋"/>
                <w:b w:val="0"/>
                <w:bCs w:val="0"/>
                <w:color w:val="auto"/>
                <w:spacing w:val="-20"/>
                <w:position w:val="0"/>
                <w:sz w:val="30"/>
                <w:szCs w:val="30"/>
                <w:u w:val="none"/>
                <w:vertAlign w:val="baseline"/>
                <w:lang w:val="en-US" w:eastAsia="zh-CN"/>
              </w:rPr>
            </w:pPr>
            <w:r>
              <w:rPr>
                <w:rFonts w:hint="eastAsia" w:ascii="仿宋" w:hAnsi="仿宋" w:eastAsia="仿宋" w:cs="仿宋"/>
                <w:b w:val="0"/>
                <w:bCs w:val="0"/>
                <w:color w:val="auto"/>
                <w:spacing w:val="-20"/>
                <w:kern w:val="0"/>
                <w:position w:val="0"/>
                <w:sz w:val="30"/>
                <w:szCs w:val="30"/>
                <w:u w:val="none"/>
                <w:vertAlign w:val="baseline"/>
                <w:lang w:val="en-US" w:eastAsia="zh-CN" w:bidi="hi-IN"/>
              </w:rPr>
              <w:t>服务期限</w:t>
            </w:r>
          </w:p>
        </w:tc>
        <w:tc>
          <w:tcPr>
            <w:tcW w:w="6653" w:type="dxa"/>
            <w:vAlign w:val="center"/>
          </w:tcPr>
          <w:p w14:paraId="592B63ED">
            <w:pPr>
              <w:pStyle w:val="5"/>
              <w:keepNext w:val="0"/>
              <w:keepLines w:val="0"/>
              <w:widowControl w:val="0"/>
              <w:numPr>
                <w:ilvl w:val="0"/>
                <w:numId w:val="0"/>
              </w:numPr>
              <w:suppressAutoHyphens w:val="0"/>
              <w:overflowPunct w:val="0"/>
              <w:bidi w:val="0"/>
              <w:snapToGrid/>
              <w:spacing w:before="0" w:after="0" w:line="360" w:lineRule="auto"/>
              <w:ind w:left="0" w:leftChars="0" w:firstLine="0"/>
              <w:jc w:val="both"/>
              <w:textAlignment w:val="auto"/>
              <w:rPr>
                <w:rFonts w:hint="eastAsia" w:ascii="仿宋" w:hAnsi="仿宋" w:eastAsia="仿宋" w:cs="仿宋"/>
                <w:b w:val="0"/>
                <w:bCs w:val="0"/>
                <w:color w:val="auto"/>
                <w:spacing w:val="-20"/>
                <w:position w:val="0"/>
                <w:sz w:val="30"/>
                <w:szCs w:val="30"/>
                <w:u w:val="none"/>
                <w:vertAlign w:val="baseline"/>
                <w:lang w:val="en-US" w:eastAsia="zh-CN"/>
              </w:rPr>
            </w:pPr>
            <w:r>
              <w:rPr>
                <w:rFonts w:hint="eastAsia" w:ascii="仿宋" w:hAnsi="仿宋" w:eastAsia="仿宋" w:cs="仿宋"/>
                <w:b w:val="0"/>
                <w:bCs w:val="0"/>
                <w:color w:val="auto"/>
                <w:spacing w:val="-20"/>
                <w:kern w:val="0"/>
                <w:sz w:val="32"/>
                <w:szCs w:val="40"/>
                <w:u w:val="none"/>
                <w:lang w:val="en-US" w:eastAsia="zh-CN" w:bidi="hi-IN"/>
              </w:rPr>
              <w:t>7日内</w:t>
            </w:r>
          </w:p>
        </w:tc>
      </w:tr>
      <w:tr w14:paraId="2F8C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95" w:type="dxa"/>
            <w:vAlign w:val="center"/>
          </w:tcPr>
          <w:p w14:paraId="2B9731B0">
            <w:pPr>
              <w:pStyle w:val="5"/>
              <w:keepNext w:val="0"/>
              <w:keepLines w:val="0"/>
              <w:widowControl w:val="0"/>
              <w:numPr>
                <w:ilvl w:val="0"/>
                <w:numId w:val="0"/>
              </w:numPr>
              <w:suppressAutoHyphens w:val="0"/>
              <w:overflowPunct w:val="0"/>
              <w:bidi w:val="0"/>
              <w:snapToGrid/>
              <w:spacing w:before="0" w:after="0" w:line="360" w:lineRule="auto"/>
              <w:ind w:left="0" w:leftChars="0" w:firstLine="0"/>
              <w:jc w:val="center"/>
              <w:textAlignment w:val="auto"/>
              <w:rPr>
                <w:rFonts w:hint="eastAsia" w:ascii="仿宋" w:hAnsi="仿宋" w:eastAsia="仿宋" w:cs="仿宋"/>
                <w:b w:val="0"/>
                <w:bCs w:val="0"/>
                <w:color w:val="auto"/>
                <w:spacing w:val="-20"/>
                <w:position w:val="0"/>
                <w:sz w:val="30"/>
                <w:szCs w:val="30"/>
                <w:u w:val="none"/>
                <w:vertAlign w:val="baseline"/>
                <w:lang w:val="en-US" w:eastAsia="zh-CN"/>
              </w:rPr>
            </w:pPr>
            <w:r>
              <w:rPr>
                <w:rFonts w:hint="eastAsia" w:ascii="仿宋" w:hAnsi="仿宋" w:eastAsia="仿宋" w:cs="仿宋"/>
                <w:b w:val="0"/>
                <w:bCs w:val="0"/>
                <w:color w:val="auto"/>
                <w:spacing w:val="-20"/>
                <w:kern w:val="0"/>
                <w:position w:val="0"/>
                <w:sz w:val="30"/>
                <w:szCs w:val="30"/>
                <w:u w:val="none"/>
                <w:vertAlign w:val="baseline"/>
                <w:lang w:val="en-US" w:eastAsia="zh-CN" w:bidi="hi-IN"/>
              </w:rPr>
              <w:t>付款方式</w:t>
            </w:r>
          </w:p>
        </w:tc>
        <w:tc>
          <w:tcPr>
            <w:tcW w:w="6653" w:type="dxa"/>
            <w:vAlign w:val="center"/>
          </w:tcPr>
          <w:p w14:paraId="6CC82B38">
            <w:pPr>
              <w:pStyle w:val="5"/>
              <w:keepNext w:val="0"/>
              <w:keepLines w:val="0"/>
              <w:widowControl w:val="0"/>
              <w:numPr>
                <w:ilvl w:val="0"/>
                <w:numId w:val="0"/>
              </w:numPr>
              <w:suppressAutoHyphens w:val="0"/>
              <w:overflowPunct w:val="0"/>
              <w:bidi w:val="0"/>
              <w:snapToGrid/>
              <w:spacing w:before="0" w:after="0" w:line="360" w:lineRule="auto"/>
              <w:ind w:left="0" w:leftChars="0" w:firstLine="0"/>
              <w:jc w:val="both"/>
              <w:textAlignment w:val="auto"/>
              <w:rPr>
                <w:rFonts w:hint="eastAsia" w:ascii="仿宋" w:hAnsi="仿宋" w:eastAsia="仿宋" w:cs="仿宋"/>
                <w:b w:val="0"/>
                <w:bCs w:val="0"/>
                <w:color w:val="auto"/>
                <w:spacing w:val="-20"/>
                <w:position w:val="0"/>
                <w:sz w:val="30"/>
                <w:szCs w:val="30"/>
                <w:u w:val="none"/>
                <w:vertAlign w:val="baseline"/>
                <w:lang w:val="en-US" w:eastAsia="zh-CN"/>
              </w:rPr>
            </w:pPr>
            <w:r>
              <w:rPr>
                <w:rFonts w:hint="eastAsia" w:ascii="仿宋" w:hAnsi="仿宋" w:eastAsia="仿宋" w:cs="仿宋"/>
                <w:b w:val="0"/>
                <w:bCs w:val="0"/>
                <w:color w:val="auto"/>
                <w:spacing w:val="-20"/>
                <w:kern w:val="0"/>
                <w:position w:val="0"/>
                <w:sz w:val="30"/>
                <w:szCs w:val="30"/>
                <w:highlight w:val="none"/>
                <w:u w:val="none"/>
                <w:vertAlign w:val="baseline"/>
                <w:lang w:val="en-US" w:eastAsia="zh-CN" w:bidi="hi-IN"/>
              </w:rPr>
              <w:t>图纸交付甲方并经主管部门审核通过后，一次性支付全部合同价款。</w:t>
            </w:r>
          </w:p>
        </w:tc>
      </w:tr>
      <w:tr w14:paraId="6E84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2295" w:type="dxa"/>
            <w:vAlign w:val="center"/>
          </w:tcPr>
          <w:p w14:paraId="115B75DA">
            <w:pPr>
              <w:pStyle w:val="5"/>
              <w:keepNext w:val="0"/>
              <w:keepLines w:val="0"/>
              <w:widowControl w:val="0"/>
              <w:numPr>
                <w:ilvl w:val="0"/>
                <w:numId w:val="0"/>
              </w:numPr>
              <w:suppressAutoHyphens w:val="0"/>
              <w:overflowPunct w:val="0"/>
              <w:bidi w:val="0"/>
              <w:snapToGrid/>
              <w:spacing w:before="0" w:after="0" w:line="360" w:lineRule="auto"/>
              <w:ind w:left="0" w:leftChars="0" w:firstLine="0"/>
              <w:jc w:val="center"/>
              <w:textAlignment w:val="auto"/>
              <w:rPr>
                <w:rFonts w:hint="eastAsia" w:ascii="仿宋" w:hAnsi="仿宋" w:eastAsia="仿宋" w:cs="仿宋"/>
                <w:b w:val="0"/>
                <w:bCs w:val="0"/>
                <w:color w:val="auto"/>
                <w:spacing w:val="-20"/>
                <w:position w:val="0"/>
                <w:sz w:val="30"/>
                <w:szCs w:val="30"/>
                <w:u w:val="none"/>
                <w:vertAlign w:val="baseline"/>
                <w:lang w:val="en-US" w:eastAsia="zh-CN"/>
              </w:rPr>
            </w:pPr>
            <w:r>
              <w:rPr>
                <w:rFonts w:hint="eastAsia" w:ascii="仿宋" w:hAnsi="仿宋" w:eastAsia="仿宋" w:cs="仿宋"/>
                <w:b w:val="0"/>
                <w:bCs w:val="0"/>
                <w:color w:val="auto"/>
                <w:spacing w:val="-20"/>
                <w:kern w:val="0"/>
                <w:position w:val="0"/>
                <w:sz w:val="30"/>
                <w:szCs w:val="30"/>
                <w:u w:val="none"/>
                <w:vertAlign w:val="baseline"/>
                <w:lang w:val="en-US" w:eastAsia="zh-CN" w:bidi="hi-IN"/>
              </w:rPr>
              <w:t>承诺</w:t>
            </w:r>
          </w:p>
        </w:tc>
        <w:tc>
          <w:tcPr>
            <w:tcW w:w="6653" w:type="dxa"/>
            <w:vAlign w:val="center"/>
          </w:tcPr>
          <w:p w14:paraId="48874892">
            <w:pPr>
              <w:pStyle w:val="5"/>
              <w:keepNext w:val="0"/>
              <w:keepLines w:val="0"/>
              <w:widowControl w:val="0"/>
              <w:numPr>
                <w:ilvl w:val="0"/>
                <w:numId w:val="0"/>
              </w:numPr>
              <w:suppressAutoHyphens w:val="0"/>
              <w:overflowPunct w:val="0"/>
              <w:bidi w:val="0"/>
              <w:snapToGrid/>
              <w:spacing w:before="0" w:after="0" w:line="360" w:lineRule="auto"/>
              <w:ind w:left="0" w:leftChars="0" w:firstLine="0"/>
              <w:jc w:val="both"/>
              <w:textAlignment w:val="auto"/>
              <w:rPr>
                <w:rFonts w:hint="eastAsia" w:ascii="仿宋" w:hAnsi="仿宋" w:eastAsia="仿宋" w:cs="仿宋"/>
                <w:b w:val="0"/>
                <w:bCs w:val="0"/>
                <w:color w:val="auto"/>
                <w:spacing w:val="-20"/>
                <w:position w:val="0"/>
                <w:sz w:val="30"/>
                <w:szCs w:val="30"/>
                <w:u w:val="none"/>
                <w:vertAlign w:val="baseline"/>
                <w:lang w:val="en-US" w:eastAsia="zh-CN"/>
              </w:rPr>
            </w:pPr>
            <w:r>
              <w:rPr>
                <w:rFonts w:hint="eastAsia" w:ascii="仿宋" w:hAnsi="仿宋" w:eastAsia="仿宋" w:cs="仿宋"/>
                <w:b w:val="0"/>
                <w:bCs w:val="0"/>
                <w:color w:val="auto"/>
                <w:spacing w:val="-20"/>
                <w:kern w:val="0"/>
                <w:position w:val="0"/>
                <w:sz w:val="30"/>
                <w:szCs w:val="30"/>
                <w:u w:val="none"/>
                <w:vertAlign w:val="baseline"/>
                <w:lang w:val="en-US" w:eastAsia="zh-CN" w:bidi="hi-IN"/>
              </w:rPr>
              <w:t>竞价确认后的中标人须在签订合同后7日内完成全部工作内容，出具书面承诺书并要求单位法定代表人签字或盖章并加盖单位公章，否则竞价无效，采购人有权拒签合同。</w:t>
            </w:r>
          </w:p>
        </w:tc>
      </w:tr>
      <w:tr w14:paraId="0669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trPr>
        <w:tc>
          <w:tcPr>
            <w:tcW w:w="2295" w:type="dxa"/>
            <w:vAlign w:val="center"/>
          </w:tcPr>
          <w:p w14:paraId="2A98DAC3">
            <w:pPr>
              <w:pStyle w:val="5"/>
              <w:keepNext w:val="0"/>
              <w:keepLines w:val="0"/>
              <w:widowControl w:val="0"/>
              <w:numPr>
                <w:ilvl w:val="0"/>
                <w:numId w:val="0"/>
              </w:numPr>
              <w:suppressAutoHyphens w:val="0"/>
              <w:overflowPunct w:val="0"/>
              <w:bidi w:val="0"/>
              <w:snapToGrid/>
              <w:spacing w:before="0" w:after="0" w:line="360" w:lineRule="auto"/>
              <w:ind w:left="0" w:leftChars="0" w:firstLine="0"/>
              <w:jc w:val="center"/>
              <w:textAlignment w:val="auto"/>
              <w:rPr>
                <w:rFonts w:hint="eastAsia" w:ascii="仿宋" w:hAnsi="仿宋" w:eastAsia="仿宋" w:cs="仿宋"/>
                <w:b w:val="0"/>
                <w:bCs w:val="0"/>
                <w:color w:val="auto"/>
                <w:spacing w:val="-20"/>
                <w:position w:val="0"/>
                <w:sz w:val="30"/>
                <w:szCs w:val="30"/>
                <w:u w:val="none"/>
                <w:vertAlign w:val="baseline"/>
                <w:lang w:val="en-US" w:eastAsia="zh-CN"/>
              </w:rPr>
            </w:pPr>
            <w:r>
              <w:rPr>
                <w:rFonts w:hint="eastAsia" w:ascii="仿宋" w:hAnsi="仿宋" w:eastAsia="仿宋" w:cs="仿宋"/>
                <w:b w:val="0"/>
                <w:bCs w:val="0"/>
                <w:color w:val="auto"/>
                <w:spacing w:val="-20"/>
                <w:kern w:val="0"/>
                <w:position w:val="0"/>
                <w:sz w:val="30"/>
                <w:szCs w:val="30"/>
                <w:u w:val="none"/>
                <w:vertAlign w:val="baseline"/>
                <w:lang w:val="en-US" w:eastAsia="zh-CN" w:bidi="hi-IN"/>
              </w:rPr>
              <w:t>其他要求</w:t>
            </w:r>
          </w:p>
        </w:tc>
        <w:tc>
          <w:tcPr>
            <w:tcW w:w="6653" w:type="dxa"/>
            <w:vAlign w:val="center"/>
          </w:tcPr>
          <w:p w14:paraId="187CA23B">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1、参与竞价的投标人如获中标后需提供资格要求所需资质等有关证明材料报请采购人审核。如发现提供材料不符合资格要求或提供虚假材料从事竞价活动的，由相关部门查处，采购人有权取消其中标资格。</w:t>
            </w:r>
          </w:p>
          <w:p w14:paraId="4765110C">
            <w:pPr>
              <w:rPr>
                <w:rFonts w:hint="eastAsia" w:ascii="仿宋" w:hAnsi="仿宋" w:eastAsia="仿宋" w:cs="仿宋"/>
                <w:b w:val="0"/>
                <w:bCs w:val="0"/>
                <w:color w:val="auto"/>
                <w:spacing w:val="-20"/>
                <w:position w:val="0"/>
                <w:sz w:val="30"/>
                <w:szCs w:val="30"/>
                <w:u w:val="none"/>
                <w:vertAlign w:val="baseline"/>
                <w:lang w:val="en-US" w:eastAsia="zh-CN"/>
              </w:rPr>
            </w:pPr>
            <w:r>
              <w:rPr>
                <w:rFonts w:hint="eastAsia" w:ascii="仿宋" w:hAnsi="仿宋" w:eastAsia="仿宋" w:cs="仿宋"/>
                <w:sz w:val="30"/>
                <w:szCs w:val="30"/>
                <w:lang w:val="en-US" w:eastAsia="zh-CN"/>
              </w:rPr>
              <w:t>2、不具备资质参与竞标或报价明显低于成本的供应商视为恶意竞争，采购人有权予以废标并重新开展竞价活动，同时将上报问题并追究相关责任。</w:t>
            </w:r>
          </w:p>
        </w:tc>
      </w:tr>
    </w:tbl>
    <w:p w14:paraId="17181571">
      <w:pPr>
        <w:pStyle w:val="5"/>
        <w:keepNext w:val="0"/>
        <w:keepLines w:val="0"/>
        <w:pageBreakBefore w:val="0"/>
        <w:widowControl w:val="0"/>
        <w:numPr>
          <w:ilvl w:val="0"/>
          <w:numId w:val="0"/>
        </w:numPr>
        <w:tabs>
          <w:tab w:val="left" w:pos="0"/>
        </w:tabs>
        <w:overflowPunct w:val="0"/>
        <w:bidi w:val="0"/>
        <w:snapToGrid/>
        <w:spacing w:line="360" w:lineRule="auto"/>
        <w:ind w:leftChars="0"/>
        <w:jc w:val="left"/>
        <w:textAlignment w:val="auto"/>
        <w:rPr>
          <w:rFonts w:hint="eastAsia" w:ascii="仿宋" w:hAnsi="仿宋" w:eastAsia="仿宋" w:cs="仿宋"/>
          <w:b/>
          <w:bCs/>
          <w:color w:val="auto"/>
          <w:spacing w:val="-20"/>
          <w:sz w:val="32"/>
          <w:szCs w:val="40"/>
          <w:u w:val="none"/>
          <w:lang w:val="en-US" w:eastAsia="zh-CN"/>
        </w:rPr>
      </w:pPr>
      <w:r>
        <w:rPr>
          <w:rFonts w:hint="eastAsia" w:ascii="仿宋" w:hAnsi="仿宋" w:eastAsia="仿宋" w:cs="仿宋"/>
          <w:b/>
          <w:bCs/>
          <w:color w:val="auto"/>
          <w:spacing w:val="-20"/>
          <w:sz w:val="32"/>
          <w:szCs w:val="40"/>
          <w:u w:val="none"/>
          <w:lang w:val="en-US" w:eastAsia="zh-CN"/>
        </w:rPr>
        <w:t>三、投标人资格要求</w:t>
      </w:r>
    </w:p>
    <w:p w14:paraId="73198305">
      <w:pPr>
        <w:pStyle w:val="5"/>
        <w:widowControl/>
        <w:spacing w:line="360" w:lineRule="auto"/>
        <w:ind w:left="0" w:leftChars="0" w:firstLine="0"/>
        <w:jc w:val="left"/>
        <w:rPr>
          <w:rFonts w:hint="eastAsia" w:ascii="仿宋" w:hAnsi="仿宋" w:eastAsia="仿宋" w:cs="仿宋"/>
          <w:b w:val="0"/>
          <w:bCs w:val="0"/>
          <w:color w:val="auto"/>
          <w:spacing w:val="-20"/>
          <w:sz w:val="32"/>
          <w:szCs w:val="40"/>
          <w:u w:val="none"/>
          <w:lang w:val="en-US" w:eastAsia="zh-CN"/>
        </w:rPr>
      </w:pPr>
      <w:r>
        <w:rPr>
          <w:rFonts w:hint="eastAsia" w:ascii="仿宋" w:hAnsi="仿宋" w:eastAsia="仿宋" w:cs="仿宋"/>
          <w:b w:val="0"/>
          <w:bCs w:val="0"/>
          <w:color w:val="auto"/>
          <w:spacing w:val="-20"/>
          <w:sz w:val="32"/>
          <w:szCs w:val="40"/>
          <w:u w:val="none"/>
          <w:lang w:val="en-US" w:eastAsia="zh-CN"/>
        </w:rPr>
        <w:t xml:space="preserve">    1、符合《中华人民共和国政府采购法》第二十二条规定。</w:t>
      </w:r>
    </w:p>
    <w:p w14:paraId="50581C81">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hint="eastAsia" w:ascii="仿宋" w:hAnsi="仿宋" w:eastAsia="仿宋" w:cs="仿宋"/>
          <w:b w:val="0"/>
          <w:bCs w:val="0"/>
          <w:color w:val="auto"/>
          <w:spacing w:val="-20"/>
          <w:sz w:val="32"/>
          <w:szCs w:val="40"/>
          <w:u w:val="none"/>
          <w:lang w:val="en-US" w:eastAsia="zh-CN"/>
        </w:rPr>
      </w:pPr>
      <w:r>
        <w:rPr>
          <w:rFonts w:hint="eastAsia" w:ascii="仿宋" w:hAnsi="仿宋" w:eastAsia="仿宋" w:cs="仿宋"/>
          <w:b w:val="0"/>
          <w:bCs w:val="0"/>
          <w:color w:val="auto"/>
          <w:spacing w:val="-20"/>
          <w:sz w:val="32"/>
          <w:szCs w:val="40"/>
          <w:u w:val="none"/>
          <w:lang w:val="en-US" w:eastAsia="zh-CN"/>
        </w:rPr>
        <w:t xml:space="preserve">    2、投标人具有独立法人资格，具有有效的营业执照副本、（统一社会信用代码）。</w:t>
      </w:r>
    </w:p>
    <w:p w14:paraId="47EB762A">
      <w:pPr>
        <w:pStyle w:val="5"/>
        <w:widowControl/>
        <w:spacing w:line="360" w:lineRule="auto"/>
        <w:ind w:left="0" w:leftChars="0"/>
        <w:jc w:val="left"/>
        <w:rPr>
          <w:rFonts w:hint="eastAsia" w:ascii="仿宋" w:hAnsi="仿宋" w:eastAsia="仿宋" w:cs="仿宋"/>
          <w:color w:val="auto"/>
          <w:spacing w:val="-20"/>
          <w:sz w:val="32"/>
          <w:szCs w:val="40"/>
        </w:rPr>
      </w:pPr>
      <w:r>
        <w:rPr>
          <w:rFonts w:hint="eastAsia" w:ascii="仿宋" w:hAnsi="仿宋" w:eastAsia="仿宋" w:cs="仿宋"/>
          <w:b w:val="0"/>
          <w:bCs w:val="0"/>
          <w:color w:val="auto"/>
          <w:spacing w:val="-20"/>
          <w:sz w:val="32"/>
          <w:szCs w:val="40"/>
          <w:u w:val="none"/>
          <w:lang w:val="en-US" w:eastAsia="zh-CN"/>
        </w:rPr>
        <w:t xml:space="preserve">    3、</w:t>
      </w:r>
      <w:r>
        <w:rPr>
          <w:rFonts w:hint="eastAsia" w:ascii="仿宋" w:hAnsi="仿宋" w:eastAsia="仿宋" w:cs="仿宋"/>
          <w:color w:val="auto"/>
          <w:spacing w:val="-20"/>
          <w:sz w:val="32"/>
          <w:szCs w:val="40"/>
        </w:rPr>
        <w:t>投标人须同时具备工程勘察专业类（工程测量）</w:t>
      </w:r>
      <w:r>
        <w:rPr>
          <w:rFonts w:hint="eastAsia" w:ascii="仿宋" w:hAnsi="仿宋" w:eastAsia="仿宋" w:cs="仿宋"/>
          <w:color w:val="auto"/>
          <w:spacing w:val="-20"/>
          <w:sz w:val="32"/>
          <w:szCs w:val="40"/>
          <w:lang w:val="en-US" w:eastAsia="zh-CN"/>
        </w:rPr>
        <w:t>乙</w:t>
      </w:r>
      <w:r>
        <w:rPr>
          <w:rFonts w:hint="eastAsia" w:ascii="仿宋" w:hAnsi="仿宋" w:eastAsia="仿宋" w:cs="仿宋"/>
          <w:color w:val="auto"/>
          <w:spacing w:val="-20"/>
          <w:sz w:val="32"/>
          <w:szCs w:val="40"/>
        </w:rPr>
        <w:t>级及以上、工程设计公路行业（公路）专业</w:t>
      </w:r>
      <w:r>
        <w:rPr>
          <w:rFonts w:hint="eastAsia" w:ascii="仿宋" w:hAnsi="仿宋" w:eastAsia="仿宋" w:cs="仿宋"/>
          <w:color w:val="auto"/>
          <w:spacing w:val="-20"/>
          <w:sz w:val="32"/>
          <w:szCs w:val="40"/>
          <w:lang w:val="en-US" w:eastAsia="zh-CN"/>
        </w:rPr>
        <w:t>乙</w:t>
      </w:r>
      <w:r>
        <w:rPr>
          <w:rFonts w:hint="eastAsia" w:ascii="仿宋" w:hAnsi="仿宋" w:eastAsia="仿宋" w:cs="仿宋"/>
          <w:color w:val="auto"/>
          <w:spacing w:val="-20"/>
          <w:sz w:val="32"/>
          <w:szCs w:val="40"/>
        </w:rPr>
        <w:t>级及以上。</w:t>
      </w:r>
    </w:p>
    <w:p w14:paraId="62570A99">
      <w:pPr>
        <w:pStyle w:val="5"/>
        <w:keepNext w:val="0"/>
        <w:keepLines w:val="0"/>
        <w:pageBreakBefore w:val="0"/>
        <w:widowControl w:val="0"/>
        <w:numPr>
          <w:ilvl w:val="0"/>
          <w:numId w:val="0"/>
        </w:numPr>
        <w:overflowPunct w:val="0"/>
        <w:bidi w:val="0"/>
        <w:snapToGrid/>
        <w:spacing w:line="360" w:lineRule="auto"/>
        <w:ind w:left="0" w:leftChars="0" w:firstLine="0"/>
        <w:jc w:val="left"/>
        <w:textAlignment w:val="auto"/>
        <w:rPr>
          <w:rFonts w:hint="eastAsia" w:ascii="仿宋" w:hAnsi="仿宋" w:eastAsia="仿宋" w:cs="仿宋"/>
          <w:b w:val="0"/>
          <w:bCs w:val="0"/>
          <w:color w:val="auto"/>
          <w:spacing w:val="-20"/>
        </w:rPr>
      </w:pPr>
      <w:r>
        <w:rPr>
          <w:rFonts w:hint="eastAsia" w:ascii="仿宋" w:hAnsi="仿宋" w:eastAsia="仿宋" w:cs="仿宋"/>
          <w:b w:val="0"/>
          <w:bCs w:val="0"/>
          <w:color w:val="auto"/>
          <w:spacing w:val="-20"/>
          <w:sz w:val="32"/>
          <w:szCs w:val="40"/>
          <w:u w:val="none"/>
          <w:lang w:val="en-US" w:eastAsia="zh-CN"/>
        </w:rPr>
        <w:t xml:space="preserve">    </w:t>
      </w:r>
      <w:r>
        <w:rPr>
          <w:rFonts w:hint="eastAsia" w:ascii="仿宋" w:hAnsi="仿宋" w:eastAsia="仿宋" w:cs="仿宋"/>
          <w:color w:val="auto"/>
          <w:spacing w:val="-20"/>
          <w:sz w:val="32"/>
          <w:szCs w:val="40"/>
        </w:rPr>
        <w:t>4、</w:t>
      </w:r>
      <w:r>
        <w:rPr>
          <w:rFonts w:hint="eastAsia" w:ascii="仿宋" w:hAnsi="仿宋" w:eastAsia="仿宋" w:cs="仿宋"/>
          <w:b w:val="0"/>
          <w:bCs w:val="0"/>
          <w:color w:val="auto"/>
          <w:spacing w:val="-20"/>
          <w:sz w:val="32"/>
          <w:szCs w:val="40"/>
          <w:u w:val="none"/>
          <w:lang w:val="en-US" w:eastAsia="zh-CN"/>
        </w:rPr>
        <w:t>拟任项目负责人须具有交通专业高级及以上职称；必须为本单位正式人员，提供劳动合同或社保证明</w:t>
      </w:r>
      <w:r>
        <w:rPr>
          <w:rFonts w:hint="eastAsia" w:ascii="仿宋" w:hAnsi="仿宋" w:eastAsia="仿宋" w:cs="仿宋"/>
          <w:color w:val="auto"/>
          <w:spacing w:val="-20"/>
          <w:sz w:val="32"/>
          <w:szCs w:val="40"/>
        </w:rPr>
        <w:t>。</w:t>
      </w:r>
    </w:p>
    <w:p w14:paraId="4E342439">
      <w:pPr>
        <w:pStyle w:val="5"/>
        <w:widowControl/>
        <w:spacing w:line="360" w:lineRule="auto"/>
        <w:ind w:firstLine="560" w:firstLineChars="200"/>
        <w:jc w:val="left"/>
        <w:rPr>
          <w:rFonts w:hint="eastAsia" w:ascii="仿宋" w:hAnsi="仿宋" w:eastAsia="仿宋" w:cs="仿宋"/>
          <w:color w:val="auto"/>
          <w:spacing w:val="-20"/>
          <w:sz w:val="32"/>
          <w:szCs w:val="40"/>
        </w:rPr>
      </w:pPr>
      <w:r>
        <w:rPr>
          <w:rFonts w:hint="eastAsia" w:ascii="仿宋" w:hAnsi="仿宋" w:eastAsia="仿宋" w:cs="仿宋"/>
          <w:color w:val="auto"/>
          <w:spacing w:val="-20"/>
          <w:sz w:val="32"/>
          <w:szCs w:val="40"/>
          <w:lang w:val="en-US" w:eastAsia="zh-CN"/>
        </w:rPr>
        <w:t>5</w:t>
      </w:r>
      <w:r>
        <w:rPr>
          <w:rFonts w:hint="eastAsia" w:ascii="仿宋" w:hAnsi="仿宋" w:eastAsia="仿宋" w:cs="仿宋"/>
          <w:color w:val="auto"/>
          <w:spacing w:val="-20"/>
          <w:sz w:val="32"/>
          <w:szCs w:val="40"/>
        </w:rPr>
        <w:t>、根据《关于在政府采购活动中查询及使用信用记录有关问题的通知》(财政[2016]125号)的规定，对列入失信被执行人</w:t>
      </w:r>
      <w:r>
        <w:rPr>
          <w:rFonts w:hint="eastAsia" w:ascii="仿宋" w:hAnsi="仿宋" w:eastAsia="仿宋" w:cs="仿宋"/>
          <w:color w:val="auto"/>
          <w:spacing w:val="-20"/>
          <w:sz w:val="32"/>
          <w:szCs w:val="40"/>
          <w:lang w:eastAsia="zh-CN"/>
        </w:rPr>
        <w:t>，</w:t>
      </w:r>
      <w:r>
        <w:rPr>
          <w:rFonts w:hint="eastAsia" w:ascii="仿宋" w:hAnsi="仿宋" w:eastAsia="仿宋" w:cs="仿宋"/>
          <w:color w:val="auto"/>
          <w:spacing w:val="-20"/>
          <w:sz w:val="32"/>
          <w:szCs w:val="40"/>
        </w:rPr>
        <w:t>重大税收违法案件当事人名单、</w:t>
      </w:r>
      <w:r>
        <w:rPr>
          <w:rFonts w:hint="eastAsia" w:ascii="仿宋" w:hAnsi="仿宋" w:eastAsia="仿宋" w:cs="仿宋"/>
          <w:color w:val="auto"/>
          <w:spacing w:val="-20"/>
          <w:sz w:val="32"/>
          <w:szCs w:val="40"/>
          <w:lang w:val="en-US" w:eastAsia="zh-CN"/>
        </w:rPr>
        <w:t>政府</w:t>
      </w:r>
      <w:r>
        <w:rPr>
          <w:rFonts w:hint="eastAsia" w:ascii="仿宋" w:hAnsi="仿宋" w:eastAsia="仿宋" w:cs="仿宋"/>
          <w:color w:val="auto"/>
          <w:spacing w:val="-20"/>
          <w:sz w:val="32"/>
          <w:szCs w:val="40"/>
        </w:rPr>
        <w:t>采购严重违法失信行为记录名单的供应商，拒绝参与本项目政府采购活动；[查询梁道:“信用中国”网站</w:t>
      </w:r>
      <w:r>
        <w:rPr>
          <w:rFonts w:hint="eastAsia" w:ascii="仿宋" w:hAnsi="仿宋" w:eastAsia="仿宋" w:cs="仿宋"/>
          <w:color w:val="auto"/>
          <w:spacing w:val="-20"/>
          <w:sz w:val="32"/>
          <w:szCs w:val="40"/>
          <w:lang w:eastAsia="zh-CN"/>
        </w:rPr>
        <w:t>（</w:t>
      </w:r>
      <w:r>
        <w:rPr>
          <w:rFonts w:hint="eastAsia" w:ascii="仿宋" w:hAnsi="仿宋" w:eastAsia="仿宋" w:cs="仿宋"/>
          <w:color w:val="auto"/>
          <w:spacing w:val="-20"/>
          <w:sz w:val="32"/>
          <w:szCs w:val="40"/>
        </w:rPr>
        <w:t>www.reditchina.gov.cn)、中国政府采购网(www.ccgp.gov.cn)]；(需提供加盖单位公章的网页截图，查询时间为招标公告发布日期之后)。</w:t>
      </w:r>
    </w:p>
    <w:p w14:paraId="53663ED0">
      <w:pPr>
        <w:pStyle w:val="5"/>
        <w:widowControl/>
        <w:spacing w:line="360" w:lineRule="auto"/>
        <w:ind w:left="0" w:leftChars="0" w:firstLine="640"/>
        <w:jc w:val="left"/>
        <w:rPr>
          <w:rFonts w:hint="eastAsia" w:ascii="仿宋" w:hAnsi="仿宋" w:eastAsia="仿宋" w:cs="仿宋"/>
          <w:color w:val="auto"/>
          <w:spacing w:val="-20"/>
          <w:sz w:val="32"/>
          <w:szCs w:val="40"/>
          <w:lang w:val="en-US" w:eastAsia="zh-CN"/>
        </w:rPr>
      </w:pPr>
      <w:r>
        <w:rPr>
          <w:rFonts w:hint="eastAsia" w:ascii="仿宋" w:hAnsi="仿宋" w:eastAsia="仿宋" w:cs="仿宋"/>
          <w:color w:val="auto"/>
          <w:spacing w:val="-20"/>
          <w:sz w:val="32"/>
          <w:szCs w:val="40"/>
          <w:lang w:val="en-US" w:eastAsia="zh-CN"/>
        </w:rPr>
        <w:t>6、投标单位携带以上证明材料复印件到我单位联系人处取得确认后方可报价，否则报价无效。不具备资质参加与竞标或报价明显低于成本的供应商视为恶意竞争，采购人有权予以废标并重新开展竞价活动。</w:t>
      </w:r>
    </w:p>
    <w:p w14:paraId="0E3A54F6">
      <w:pPr>
        <w:pStyle w:val="5"/>
        <w:widowControl/>
        <w:spacing w:line="360" w:lineRule="auto"/>
        <w:ind w:left="0" w:leftChars="0" w:firstLine="640"/>
        <w:jc w:val="left"/>
        <w:rPr>
          <w:rFonts w:hint="eastAsia" w:ascii="仿宋" w:hAnsi="仿宋" w:eastAsia="仿宋" w:cs="仿宋"/>
          <w:b w:val="0"/>
          <w:bCs w:val="0"/>
          <w:color w:val="auto"/>
          <w:sz w:val="32"/>
          <w:szCs w:val="40"/>
          <w:u w:val="none"/>
          <w:lang w:val="en-US" w:eastAsia="zh-CN"/>
        </w:rPr>
      </w:pPr>
      <w:r>
        <w:rPr>
          <w:rFonts w:hint="eastAsia" w:ascii="仿宋" w:hAnsi="仿宋" w:eastAsia="仿宋" w:cs="仿宋"/>
          <w:color w:val="auto"/>
          <w:spacing w:val="-20"/>
          <w:sz w:val="32"/>
          <w:szCs w:val="40"/>
          <w:lang w:val="en-US" w:eastAsia="zh-CN"/>
        </w:rPr>
        <w:t>7</w:t>
      </w:r>
      <w:r>
        <w:rPr>
          <w:rFonts w:hint="eastAsia" w:ascii="仿宋" w:hAnsi="仿宋" w:eastAsia="仿宋" w:cs="仿宋"/>
          <w:color w:val="auto"/>
          <w:spacing w:val="-20"/>
          <w:sz w:val="32"/>
          <w:szCs w:val="40"/>
        </w:rPr>
        <w:t>、本项目不接受联合体投标</w:t>
      </w:r>
      <w:r>
        <w:rPr>
          <w:rFonts w:hint="eastAsia" w:ascii="仿宋" w:hAnsi="仿宋" w:eastAsia="仿宋" w:cs="仿宋"/>
          <w:color w:val="auto"/>
          <w:sz w:val="32"/>
          <w:szCs w:val="40"/>
        </w:rPr>
        <w:t>。</w:t>
      </w:r>
    </w:p>
    <w:p w14:paraId="08350E91">
      <w:pPr>
        <w:pStyle w:val="5"/>
        <w:ind w:left="0" w:leftChars="0"/>
        <w:rPr>
          <w:rFonts w:hint="eastAsia" w:ascii="仿宋" w:hAnsi="仿宋" w:eastAsia="仿宋" w:cs="仿宋"/>
          <w:color w:val="auto"/>
        </w:rPr>
      </w:pPr>
    </w:p>
    <w:sectPr>
      <w:pgSz w:w="11906" w:h="16838"/>
      <w:pgMar w:top="1440" w:right="1800" w:bottom="1440" w:left="1800" w:header="0" w:footer="0" w:gutter="0"/>
      <w:pgNumType w:fmt="decimal"/>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autoHyphenation/>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OGY2MjEzNmY2YzFiOTdkN2I4M2YxMWU4OTIxY2QifQ=="/>
  </w:docVars>
  <w:rsids>
    <w:rsidRoot w:val="00000000"/>
    <w:rsid w:val="08AD5174"/>
    <w:rsid w:val="098C5B9D"/>
    <w:rsid w:val="0CAB2A47"/>
    <w:rsid w:val="0DF74AB3"/>
    <w:rsid w:val="14ED6747"/>
    <w:rsid w:val="1651111B"/>
    <w:rsid w:val="19876628"/>
    <w:rsid w:val="1D1F7FCB"/>
    <w:rsid w:val="241A554B"/>
    <w:rsid w:val="27C154A1"/>
    <w:rsid w:val="305469AC"/>
    <w:rsid w:val="357D7DC9"/>
    <w:rsid w:val="40631D31"/>
    <w:rsid w:val="457B7134"/>
    <w:rsid w:val="49B2340D"/>
    <w:rsid w:val="4F8428D4"/>
    <w:rsid w:val="54C7513E"/>
    <w:rsid w:val="5DD87764"/>
    <w:rsid w:val="64D832FC"/>
    <w:rsid w:val="6827078B"/>
    <w:rsid w:val="6B8E7FAB"/>
    <w:rsid w:val="6EF80815"/>
    <w:rsid w:val="70187343"/>
    <w:rsid w:val="7375399A"/>
    <w:rsid w:val="769D552A"/>
    <w:rsid w:val="7714179A"/>
    <w:rsid w:val="77E12AEB"/>
    <w:rsid w:val="79E33469"/>
    <w:rsid w:val="7B424F78"/>
    <w:rsid w:val="7FD02B3F"/>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hi-I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1"/>
    <w:next w:val="6"/>
    <w:qFormat/>
    <w:uiPriority w:val="0"/>
    <w:pPr>
      <w:widowControl w:val="0"/>
      <w:suppressAutoHyphens w:val="0"/>
      <w:bidi w:val="0"/>
      <w:spacing w:before="0" w:after="0"/>
      <w:jc w:val="both"/>
    </w:pPr>
    <w:rPr>
      <w:rFonts w:cs="Times New Roman" w:asciiTheme="minorHAnsi" w:hAnsiTheme="minorHAnsi" w:eastAsiaTheme="minorEastAsia"/>
      <w:color w:val="auto"/>
      <w:kern w:val="2"/>
      <w:sz w:val="21"/>
      <w:szCs w:val="24"/>
      <w:lang w:val="en-US" w:eastAsia="zh-CN" w:bidi="ar-SA"/>
    </w:rPr>
  </w:style>
  <w:style w:type="paragraph" w:customStyle="1" w:styleId="6">
    <w:name w:val="正文文本1"/>
    <w:basedOn w:val="5"/>
    <w:next w:val="7"/>
    <w:qFormat/>
    <w:uiPriority w:val="0"/>
    <w:pPr>
      <w:spacing w:before="0" w:after="120"/>
    </w:pPr>
    <w:rPr>
      <w:kern w:val="0"/>
      <w:sz w:val="20"/>
      <w:szCs w:val="20"/>
    </w:rPr>
  </w:style>
  <w:style w:type="paragraph" w:customStyle="1" w:styleId="7">
    <w:name w:val="Default"/>
    <w:qFormat/>
    <w:uiPriority w:val="0"/>
    <w:pPr>
      <w:widowControl w:val="0"/>
      <w:suppressAutoHyphens w:val="0"/>
      <w:bidi w:val="0"/>
      <w:spacing w:before="0" w:after="0"/>
      <w:jc w:val="left"/>
    </w:pPr>
    <w:rPr>
      <w:rFonts w:ascii="宋体" w:hAnsi="宋体" w:eastAsia="等线"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921</Words>
  <Characters>985</Characters>
  <Paragraphs>28</Paragraphs>
  <TotalTime>2</TotalTime>
  <ScaleCrop>false</ScaleCrop>
  <LinksUpToDate>false</LinksUpToDate>
  <CharactersWithSpaces>1018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2021-06-24T09:46:00Z</dcterms:created>
  <dc:creator>拔萝卜的小老鼠</dc:creator>
  <cp:lastModifiedBy>手心的海</cp:lastModifiedBy>
  <dcterms:modified xsi:type="dcterms:W3CDTF">2026-05-11T02:18:13Z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9E80FA52B6BC4DC88C537A3159C6039C</vt:lpwstr>
  </property>
  <property fmtid="{D5CDD505-2E9C-101B-9397-08002B2CF9AE}" pid="3" name="KSOProductBuildVer">
    <vt:lpwstr>2052-12.1.0.25865</vt:lpwstr>
  </property>
  <property fmtid="{D5CDD505-2E9C-101B-9397-08002B2CF9AE}" pid="4" name="KSOTemplateDocerSaveRecord">
    <vt:lpwstr>eyJoZGlkIjoiZGM1N2FlMzQzMDc1NTgyMGI5NmQ3M2Y0NzM1ZDM2ZDUiLCJ1c2VySWQiOiIzNDYwNzM5MDEifQ==</vt:lpwstr>
  </property>
</Properties>
</file>