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供应商资格条件：1、 具备《中华人民共和国政府采购法》第二十二条规定的条件，具有独立承担民事责任能力的独立法人。企业具有年检合格的有效证件。2、 未被“信用中国”网站或“中国政府采购网”网站列入失信被执行人、重大税收违法案件当事人名单、政府采购严重违法失信行为记录名单。3、企业具有较强的服务管理规模，经营范围包含内物业管理服务、提供近半年内社保证明。4、投标企业自成立至今至少完成过党政机关的物业服务并提供业绩。5、</w:t>
      </w:r>
      <w:r>
        <w:rPr>
          <w:rFonts w:hint="eastAsia"/>
          <w:sz w:val="32"/>
          <w:szCs w:val="40"/>
          <w:lang w:val="en-US" w:eastAsia="zh-CN"/>
        </w:rPr>
        <w:t>服务质量：保持机关院内干净整洁；</w:t>
      </w:r>
      <w:r>
        <w:rPr>
          <w:rFonts w:hint="eastAsia"/>
          <w:sz w:val="32"/>
          <w:szCs w:val="40"/>
        </w:rPr>
        <w:t>管理人员或负责人年龄不超过50岁，具有物业经理证书；6、要求竞价公司必须到现场勘察，否则本公司竞价无效，现场勘察人员需本人身份证和法人委托书、营业执照、业绩原件及盖章复印件，现场勘察时请携带原件以备查，（报名勘察时间，竞价截止时间以前）。7、竞价者竞价成功后按照采购方要求服务，采购方验收。竞价中标公司在服务期间，因管理不善，造成本人和他人人身安全及财产安全损失，由竞价中标公司承担全部责任并赔偿所有损失和费用。竞价后金额包括：工人工资等所有费和税。8、不具备资质参加与竞标或报价明显低于成本的供应商视为恶意竞争，采购人有权予以视为其报价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Yjc5ZjA2NjVjODMwMGFkMGIzOGNkZmFmN2VmODkifQ=="/>
  </w:docVars>
  <w:rsids>
    <w:rsidRoot w:val="005875EB"/>
    <w:rsid w:val="005875EB"/>
    <w:rsid w:val="00633D26"/>
    <w:rsid w:val="4B1D324F"/>
    <w:rsid w:val="5FC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2024-04-22T02:42:00Z</dcterms:created>
  <dc:creator>Administrator</dc:creator>
  <cp:lastModifiedBy>Administrator</cp:lastModifiedBy>
  <dcterms:modified xsi:type="dcterms:W3CDTF">2026-05-11T02:19:56Z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D2F08BD7CAC74300A4128F7CE3C28FB4_12</vt:lpwstr>
  </property>
</Properties>
</file>