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3ACD5E">
      <w:pPr>
        <w:pStyle w:val="2"/>
        <w:numPr>
          <w:ilvl w:val="0"/>
          <w:numId w:val="0"/>
        </w:numPr>
        <w:spacing w:line="360" w:lineRule="auto"/>
        <w:rPr>
          <w:rFonts w:hint="eastAsia"/>
          <w:lang w:val="en-US" w:eastAsia="zh-CN"/>
        </w:rPr>
      </w:pPr>
      <w:r>
        <w:rPr>
          <w:rFonts w:hint="eastAsia"/>
          <w:lang w:val="en-US" w:eastAsia="zh-CN"/>
        </w:rPr>
        <w:t>招生管理系统功能要求：</w:t>
      </w:r>
    </w:p>
    <w:p w14:paraId="5A0C3834">
      <w:pPr>
        <w:pStyle w:val="2"/>
        <w:numPr>
          <w:ilvl w:val="0"/>
          <w:numId w:val="0"/>
        </w:numPr>
        <w:spacing w:line="360" w:lineRule="auto"/>
        <w:rPr>
          <w:rFonts w:hint="default"/>
          <w:highlight w:val="yellow"/>
          <w:lang w:val="en-US" w:eastAsia="zh-CN"/>
        </w:rPr>
      </w:pPr>
      <w:r>
        <w:rPr>
          <w:rFonts w:hint="eastAsia"/>
          <w:lang w:val="en-US" w:eastAsia="zh-CN"/>
        </w:rPr>
        <w:t>1、支持一键上传院校子系统中录取的多个省份学生投档单、照片、四表数据；2、在上传过程中要求实时展示上传过程的日志记录，方便老师掌握上传进展。3、在上传过程中支持数据自动标准化功能，并且具有录取与计划一键核对，确保数据完整准确。4、自动生成包括“四表”的学生电子档案，可以实现一键分发包括笔迹、学生“四表”、学生基础信息等学生资料给院系，电子档案支持“三表合一”节省纸张。5、提供不少于10张招生数据报表，每张报表都需要包括计划、录取等招生各种指标。6、提供一分一段表、省控线、录取时间数据，并导入到系统中。7、系统能自动生成数据上报的内容，包括教基表、基本状态数据库等学校需要上报的报表。8、具有通知书打印功能，通知书模板具有可视化自定义拖拽功能。</w:t>
      </w:r>
      <w:r>
        <w:rPr>
          <w:rFonts w:hint="eastAsia"/>
          <w:highlight w:val="none"/>
          <w:lang w:val="en-US" w:eastAsia="zh-CN"/>
        </w:rPr>
        <w:t>9、可一键导入河南考试院单招报名系统中导出的考生信息。10、能自动判断考生类型，无需人工干预。11、自动转换不同类型的考生学业成绩。12、不但支持免试生管理，也要支持每个科目免考生管理。13、具有智能排考和打印座位贴、座次表、学生下载准考证等完善的考务管理功能，准考证支持多种模板选择，并且支持模板复制快速建立新模板功能。14、具有全息录取推演功能，一分钟可推演200种以上录取方案，并为学校提供最优录取方案。15、拟录取公示名单支持动态设置加星字段和加星字段内容起始和截止位。16、智能录取支持正常录取、递补录取、征集录取等不同类型，录取结果不但要有第几志愿录取信息，还要有录取专业序号、录取总序号和录取时间等。</w:t>
      </w:r>
      <w:r>
        <w:rPr>
          <w:rFonts w:hint="eastAsia"/>
          <w:lang w:val="en-US" w:eastAsia="zh-CN"/>
        </w:rPr>
        <w:t>17、中标后签合同前需要到学校演示招标功能，如不能满足取消中标资格并按虚假应标处理。</w:t>
      </w:r>
      <w:bookmarkStart w:id="0" w:name="_GoBack"/>
      <w:bookmarkEnd w:id="0"/>
    </w:p>
    <w:p w14:paraId="19B5BE6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D460A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ind w:firstLine="420"/>
    </w:pPr>
    <w:rPr>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2026-03-24T06:47:42Z</dcterms:created>
  <dc:creator>Lenovo</dc:creator>
  <cp:lastModifiedBy>海阔天空</cp:lastModifiedBy>
  <dcterms:modified xsi:type="dcterms:W3CDTF">2026-03-24T06:49:49Z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eyJoZGlkIjoiMDc5ZDdkYWRmZDg5ZjYwMzM2ZTQ4OWI4NzhkODI4ZTQiLCJ1c2VySWQiOiIyMTUwMzk4MTQifQ==</vt:lpwstr>
  </property>
  <property fmtid="{D5CDD505-2E9C-101B-9397-08002B2CF9AE}" pid="4" name="ICV">
    <vt:lpwstr>339A381CB4B74573920A151522FD5927_12</vt:lpwstr>
  </property>
</Properties>
</file>