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FC2DD">
      <w:pPr>
        <w:numPr>
          <w:ilvl w:val="0"/>
          <w:numId w:val="0"/>
        </w:numPr>
        <w:jc w:val="center"/>
        <w:rPr>
          <w:rFonts w:hint="default" w:ascii="宋体" w:hAnsi="宋体" w:eastAsia="宋体"/>
          <w:b/>
          <w:bCs/>
          <w:sz w:val="36"/>
          <w:szCs w:val="36"/>
          <w:lang w:val="en-US" w:eastAsia="zh-CN"/>
        </w:rPr>
      </w:pPr>
      <w:r>
        <w:rPr>
          <w:rFonts w:hint="eastAsia" w:ascii="宋体" w:hAnsi="宋体" w:eastAsia="宋体"/>
          <w:b/>
          <w:bCs/>
          <w:sz w:val="36"/>
          <w:szCs w:val="36"/>
          <w:lang w:val="en-US" w:eastAsia="zh-CN"/>
        </w:rPr>
        <w:t>新蔡县人民医院网络信息安全评测及技术服务要求</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530"/>
        <w:gridCol w:w="7309"/>
        <w:gridCol w:w="45"/>
      </w:tblGrid>
      <w:tr w14:paraId="6909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36" w:type="dxa"/>
          </w:tcPr>
          <w:p w14:paraId="0CED0AAF">
            <w:pPr>
              <w:jc w:val="center"/>
              <w:rPr>
                <w:rFonts w:ascii="宋体" w:hAnsi="宋体" w:eastAsia="宋体"/>
                <w:b/>
                <w:bCs/>
              </w:rPr>
            </w:pPr>
          </w:p>
        </w:tc>
        <w:tc>
          <w:tcPr>
            <w:tcW w:w="7884" w:type="dxa"/>
            <w:gridSpan w:val="3"/>
          </w:tcPr>
          <w:p w14:paraId="4A619AF5">
            <w:pPr>
              <w:jc w:val="center"/>
              <w:rPr>
                <w:rFonts w:ascii="宋体" w:hAnsi="宋体" w:eastAsia="宋体"/>
                <w:b/>
                <w:bCs/>
              </w:rPr>
            </w:pPr>
            <w:r>
              <w:rPr>
                <w:rFonts w:hint="eastAsia" w:ascii="宋体" w:hAnsi="宋体" w:eastAsia="宋体"/>
                <w:b/>
                <w:bCs/>
                <w:sz w:val="24"/>
                <w:szCs w:val="24"/>
              </w:rPr>
              <w:t>指标项要求</w:t>
            </w:r>
          </w:p>
        </w:tc>
      </w:tr>
      <w:tr w14:paraId="6CDE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4" w:hRule="atLeast"/>
          <w:jc w:val="center"/>
        </w:trPr>
        <w:tc>
          <w:tcPr>
            <w:tcW w:w="636" w:type="dxa"/>
            <w:vMerge w:val="restart"/>
            <w:vAlign w:val="center"/>
          </w:tcPr>
          <w:p w14:paraId="7EFB2EF0">
            <w:pPr>
              <w:jc w:val="center"/>
              <w:rPr>
                <w:rFonts w:hint="eastAsia" w:ascii="宋体" w:hAnsi="宋体" w:eastAsia="宋体"/>
              </w:rPr>
            </w:pPr>
            <w:r>
              <w:rPr>
                <w:rFonts w:hint="eastAsia" w:ascii="宋体" w:hAnsi="宋体" w:eastAsia="宋体" w:cs="Times New Roman"/>
                <w:b/>
                <w:bCs w:val="0"/>
                <w:kern w:val="2"/>
                <w:sz w:val="36"/>
                <w:szCs w:val="36"/>
                <w:lang w:val="en-US" w:eastAsia="zh-CN" w:bidi="ar-SA"/>
              </w:rPr>
              <w:t>一、三级等保测评服务</w:t>
            </w:r>
          </w:p>
        </w:tc>
        <w:tc>
          <w:tcPr>
            <w:tcW w:w="530" w:type="dxa"/>
            <w:vAlign w:val="center"/>
          </w:tcPr>
          <w:p w14:paraId="63788C54">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783AF787">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263A8848">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7624596A">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1F924550">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47B5E892">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30CA5C96">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02D62498">
            <w:pPr>
              <w:widowControl w:val="0"/>
              <w:numPr>
                <w:ilvl w:val="0"/>
                <w:numId w:val="0"/>
              </w:numPr>
              <w:spacing w:line="360" w:lineRule="auto"/>
              <w:jc w:val="center"/>
              <w:outlineLvl w:val="1"/>
              <w:rPr>
                <w:rFonts w:ascii="宋体" w:hAnsi="宋体" w:eastAsia="宋体" w:cs="Times New Roman"/>
                <w:b/>
                <w:bCs w:val="0"/>
                <w:kern w:val="2"/>
                <w:sz w:val="24"/>
                <w:szCs w:val="24"/>
                <w:lang w:val="en-US" w:eastAsia="zh-CN" w:bidi="ar-SA"/>
              </w:rPr>
            </w:pPr>
            <w:r>
              <w:rPr>
                <w:rFonts w:hint="eastAsia" w:ascii="宋体" w:hAnsi="宋体" w:eastAsia="宋体" w:cs="Times New Roman"/>
                <w:b/>
                <w:bCs w:val="0"/>
                <w:kern w:val="2"/>
                <w:sz w:val="24"/>
                <w:szCs w:val="24"/>
                <w:lang w:val="en-US" w:eastAsia="zh-CN" w:bidi="ar-SA"/>
              </w:rPr>
              <w:t>项目简介</w:t>
            </w:r>
          </w:p>
          <w:p w14:paraId="672371E9">
            <w:pPr>
              <w:jc w:val="center"/>
              <w:rPr>
                <w:rFonts w:ascii="宋体" w:hAnsi="宋体" w:eastAsia="宋体"/>
                <w:b/>
                <w:bCs w:val="0"/>
                <w:sz w:val="24"/>
                <w:szCs w:val="24"/>
              </w:rPr>
            </w:pPr>
          </w:p>
        </w:tc>
        <w:tc>
          <w:tcPr>
            <w:tcW w:w="7354" w:type="dxa"/>
            <w:gridSpan w:val="2"/>
          </w:tcPr>
          <w:p w14:paraId="6409DCBA">
            <w:pPr>
              <w:widowControl w:val="0"/>
              <w:spacing w:line="360" w:lineRule="auto"/>
              <w:ind w:firstLine="480" w:firstLineChars="200"/>
              <w:rPr>
                <w:rFonts w:hint="eastAsia" w:ascii="宋体" w:hAnsi="宋体" w:eastAsia="宋体" w:cs="宋体"/>
                <w:bCs w:val="0"/>
                <w:kern w:val="2"/>
                <w:sz w:val="24"/>
                <w:szCs w:val="24"/>
              </w:rPr>
            </w:pPr>
            <w:r>
              <w:rPr>
                <w:rFonts w:hint="eastAsia" w:ascii="宋体" w:hAnsi="宋体" w:eastAsia="宋体" w:cs="宋体"/>
                <w:bCs w:val="0"/>
                <w:kern w:val="2"/>
                <w:sz w:val="24"/>
                <w:szCs w:val="24"/>
              </w:rPr>
              <w:t>近年，随着新蔡县人民医院战略发展和社会服务需求的不断提升，新蔡县人民医院在信息化建设方面进行了大量的投入，使得新蔡县人民医院的信息化建设得到了深入、快速的发展，在建设过程中采用了大量的计算机新技术，但随着计算机技术的发展，往往伴随着新的安全漏洞和新的黑客攻击技术的发展。为认真贯彻国家相关部（局）委精神及文件要求，落实网络安全等级保护制度，切实提高新蔡县人民医院信息系统安全保护能力和网络安全管理水平，本项目将按照国家相关要求开展网络安全等级保护测评工作。</w:t>
            </w:r>
          </w:p>
          <w:p w14:paraId="07A13AE9">
            <w:pPr>
              <w:widowControl w:val="0"/>
              <w:spacing w:line="360" w:lineRule="auto"/>
              <w:ind w:firstLine="480" w:firstLineChars="200"/>
              <w:rPr>
                <w:rFonts w:hint="eastAsia" w:ascii="宋体" w:hAnsi="宋体" w:eastAsia="宋体" w:cs="宋体"/>
                <w:bCs w:val="0"/>
                <w:kern w:val="2"/>
                <w:sz w:val="24"/>
                <w:szCs w:val="24"/>
              </w:rPr>
            </w:pPr>
            <w:r>
              <w:rPr>
                <w:rFonts w:hint="eastAsia" w:ascii="宋体" w:hAnsi="宋体" w:eastAsia="宋体" w:cs="宋体"/>
                <w:bCs w:val="0"/>
                <w:kern w:val="2"/>
                <w:sz w:val="24"/>
                <w:szCs w:val="24"/>
              </w:rPr>
              <w:t>依据《卫生部办公厅关于全面开展卫生行业信息安全等级保护工作的通知》、《卫生部关于卫生行业信息安全等级保护工作的指导意见》、《河南省医院信息化建设指南》、《河南省卫生系统信息安全等级保护工作实施方案》等相关文件要求，为全面提升新蔡县人民医院信息系统的安全保障能力和防护水平，择优选取第三方机构，对新蔡县人民医院的信息系统进行全面的安全等级测评，并依据测评结果出具详实的测评报告和整改建议，并协助新蔡县人民医院完成整改工作。</w:t>
            </w:r>
          </w:p>
          <w:p w14:paraId="4CA9D13F">
            <w:pPr>
              <w:rPr>
                <w:rFonts w:hint="eastAsia" w:ascii="宋体" w:hAnsi="宋体" w:eastAsia="宋体" w:cs="宋体"/>
                <w:sz w:val="24"/>
                <w:szCs w:val="24"/>
              </w:rPr>
            </w:pPr>
          </w:p>
        </w:tc>
      </w:tr>
      <w:tr w14:paraId="09B3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jc w:val="center"/>
        </w:trPr>
        <w:tc>
          <w:tcPr>
            <w:tcW w:w="636" w:type="dxa"/>
            <w:vMerge w:val="continue"/>
            <w:vAlign w:val="center"/>
          </w:tcPr>
          <w:p w14:paraId="68299AC9">
            <w:pPr>
              <w:jc w:val="center"/>
              <w:rPr>
                <w:rFonts w:hint="eastAsia" w:ascii="宋体" w:hAnsi="宋体" w:eastAsia="宋体"/>
              </w:rPr>
            </w:pPr>
          </w:p>
        </w:tc>
        <w:tc>
          <w:tcPr>
            <w:tcW w:w="530" w:type="dxa"/>
            <w:vAlign w:val="center"/>
          </w:tcPr>
          <w:p w14:paraId="0544E9E3">
            <w:pPr>
              <w:widowControl w:val="0"/>
              <w:numPr>
                <w:ilvl w:val="0"/>
                <w:numId w:val="0"/>
              </w:numPr>
              <w:spacing w:line="360" w:lineRule="auto"/>
              <w:jc w:val="center"/>
              <w:outlineLvl w:val="1"/>
              <w:rPr>
                <w:rFonts w:ascii="宋体" w:hAnsi="宋体" w:eastAsia="宋体" w:cs="Times New Roman"/>
                <w:b/>
                <w:bCs w:val="0"/>
                <w:kern w:val="2"/>
                <w:sz w:val="24"/>
                <w:szCs w:val="24"/>
                <w:lang w:val="en-US" w:eastAsia="zh-CN" w:bidi="ar-SA"/>
              </w:rPr>
            </w:pPr>
            <w:r>
              <w:rPr>
                <w:rFonts w:hint="eastAsia" w:ascii="宋体" w:hAnsi="宋体" w:eastAsia="宋体" w:cs="Times New Roman"/>
                <w:b/>
                <w:bCs w:val="0"/>
                <w:kern w:val="2"/>
                <w:sz w:val="24"/>
                <w:szCs w:val="24"/>
                <w:lang w:val="en-US" w:eastAsia="zh-CN" w:bidi="ar-SA"/>
              </w:rPr>
              <w:t>项目测评范围</w:t>
            </w:r>
          </w:p>
          <w:p w14:paraId="3D569A9D">
            <w:pPr>
              <w:jc w:val="center"/>
              <w:rPr>
                <w:rFonts w:hint="eastAsia" w:ascii="宋体" w:hAnsi="宋体" w:eastAsia="宋体"/>
                <w:b/>
                <w:bCs w:val="0"/>
                <w:sz w:val="24"/>
                <w:szCs w:val="24"/>
                <w:lang w:val="en-US" w:eastAsia="zh-CN"/>
              </w:rPr>
            </w:pPr>
          </w:p>
        </w:tc>
        <w:tc>
          <w:tcPr>
            <w:tcW w:w="7309" w:type="dxa"/>
          </w:tcPr>
          <w:p w14:paraId="72F5CAC5">
            <w:pPr>
              <w:widowControl w:val="0"/>
              <w:spacing w:line="360" w:lineRule="auto"/>
              <w:ind w:firstLine="480" w:firstLineChars="200"/>
              <w:rPr>
                <w:rFonts w:hint="eastAsia" w:ascii="宋体" w:hAnsi="宋体" w:eastAsia="宋体" w:cs="宋体"/>
                <w:bCs w:val="0"/>
                <w:kern w:val="2"/>
                <w:sz w:val="24"/>
                <w:szCs w:val="24"/>
              </w:rPr>
            </w:pPr>
            <w:r>
              <w:rPr>
                <w:rFonts w:hint="eastAsia" w:ascii="宋体" w:hAnsi="宋体" w:eastAsia="宋体" w:cs="宋体"/>
                <w:bCs w:val="0"/>
                <w:kern w:val="2"/>
                <w:sz w:val="24"/>
                <w:szCs w:val="24"/>
              </w:rPr>
              <w:t>针对被测信息系统，按照等级保护2.0的标准开展等保测评工作，及时发现可能存在的问题，提出可行的整改方案，并协助我院开展整改落实工作；出具公安部门认可的系统安全保护等级测评报告，依据测评报告编制整改建议方案，并协助完成整改工作；完成信息系统安全保护等级备案工作，取得公安部门备案证明。</w:t>
            </w:r>
          </w:p>
          <w:p w14:paraId="40E7600A">
            <w:pPr>
              <w:rPr>
                <w:rFonts w:hint="eastAsia" w:ascii="宋体" w:hAnsi="宋体" w:eastAsia="宋体" w:cs="宋体"/>
                <w:sz w:val="24"/>
                <w:szCs w:val="24"/>
                <w:lang w:val="en-US" w:eastAsia="zh-CN"/>
              </w:rPr>
            </w:pPr>
          </w:p>
        </w:tc>
      </w:tr>
      <w:tr w14:paraId="7AE5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317B1040">
            <w:pPr>
              <w:jc w:val="center"/>
              <w:rPr>
                <w:rFonts w:hint="eastAsia" w:ascii="宋体" w:hAnsi="宋体" w:eastAsia="宋体"/>
              </w:rPr>
            </w:pPr>
          </w:p>
        </w:tc>
        <w:tc>
          <w:tcPr>
            <w:tcW w:w="530" w:type="dxa"/>
            <w:vAlign w:val="center"/>
          </w:tcPr>
          <w:p w14:paraId="6051AE53">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426719B2">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5B90A969">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6FE8BD0F">
            <w:pPr>
              <w:widowControl w:val="0"/>
              <w:numPr>
                <w:ilvl w:val="0"/>
                <w:numId w:val="0"/>
              </w:numPr>
              <w:spacing w:line="360" w:lineRule="auto"/>
              <w:jc w:val="center"/>
              <w:outlineLvl w:val="1"/>
              <w:rPr>
                <w:rFonts w:hint="eastAsia" w:ascii="宋体" w:hAnsi="宋体" w:eastAsia="宋体" w:cs="Times New Roman"/>
                <w:b/>
                <w:bCs w:val="0"/>
                <w:kern w:val="2"/>
                <w:sz w:val="24"/>
                <w:szCs w:val="24"/>
                <w:lang w:val="en-US" w:eastAsia="zh-CN" w:bidi="ar-SA"/>
              </w:rPr>
            </w:pPr>
          </w:p>
          <w:p w14:paraId="530B3C5C">
            <w:pPr>
              <w:widowControl w:val="0"/>
              <w:numPr>
                <w:ilvl w:val="0"/>
                <w:numId w:val="0"/>
              </w:numPr>
              <w:spacing w:line="360" w:lineRule="auto"/>
              <w:jc w:val="center"/>
              <w:outlineLvl w:val="1"/>
              <w:rPr>
                <w:rFonts w:ascii="宋体" w:hAnsi="宋体" w:eastAsia="宋体" w:cs="Times New Roman"/>
                <w:b/>
                <w:bCs w:val="0"/>
                <w:kern w:val="2"/>
                <w:sz w:val="24"/>
                <w:szCs w:val="24"/>
                <w:lang w:val="en-US" w:eastAsia="zh-CN" w:bidi="ar-SA"/>
              </w:rPr>
            </w:pPr>
            <w:r>
              <w:rPr>
                <w:rFonts w:hint="eastAsia" w:ascii="宋体" w:hAnsi="宋体" w:eastAsia="宋体" w:cs="Times New Roman"/>
                <w:b/>
                <w:bCs w:val="0"/>
                <w:kern w:val="2"/>
                <w:sz w:val="24"/>
                <w:szCs w:val="24"/>
                <w:lang w:val="en-US" w:eastAsia="zh-CN" w:bidi="ar-SA"/>
              </w:rPr>
              <w:t>项目内容</w:t>
            </w:r>
          </w:p>
          <w:p w14:paraId="50026B90">
            <w:pPr>
              <w:jc w:val="center"/>
              <w:rPr>
                <w:rFonts w:hint="eastAsia" w:ascii="宋体" w:hAnsi="宋体" w:eastAsia="宋体"/>
                <w:b/>
                <w:bCs w:val="0"/>
                <w:sz w:val="24"/>
                <w:szCs w:val="24"/>
                <w:lang w:val="en-US" w:eastAsia="zh-CN"/>
              </w:rPr>
            </w:pPr>
          </w:p>
        </w:tc>
        <w:tc>
          <w:tcPr>
            <w:tcW w:w="7354" w:type="dxa"/>
            <w:gridSpan w:val="2"/>
          </w:tcPr>
          <w:p w14:paraId="154105E8">
            <w:pPr>
              <w:rPr>
                <w:rFonts w:hint="eastAsia" w:ascii="宋体" w:hAnsi="宋体" w:eastAsia="宋体" w:cs="宋体"/>
                <w:sz w:val="24"/>
                <w:szCs w:val="24"/>
              </w:rPr>
            </w:pPr>
            <w:r>
              <w:rPr>
                <w:rFonts w:hint="eastAsia" w:ascii="宋体" w:hAnsi="宋体" w:eastAsia="宋体" w:cs="宋体"/>
                <w:sz w:val="24"/>
                <w:szCs w:val="24"/>
              </w:rPr>
              <w:t>新蔡县人民医院的医院信息管理系统（HIS）、检验信息管理系统（LIS）、电子病历管理系统（EMR）、医学影像管理系统（PACS）4个系统是依据等级保护定级标准定为三级，按照等级保护2.0的要求对以上4个信息系统进行全面的安全等级测评。测评指标与《信息安全技术 网络安全等级保护基本要求》（GB/T 22239-2019）相应等级的基本要求完全一致；测评内容应包含但不限于如下方面：</w:t>
            </w:r>
          </w:p>
          <w:p w14:paraId="5D797602">
            <w:pPr>
              <w:rPr>
                <w:rFonts w:hint="eastAsia" w:ascii="宋体" w:hAnsi="宋体" w:eastAsia="宋体" w:cs="宋体"/>
                <w:sz w:val="24"/>
                <w:szCs w:val="24"/>
              </w:rPr>
            </w:pPr>
            <w:r>
              <w:rPr>
                <w:rFonts w:hint="eastAsia" w:ascii="宋体" w:hAnsi="宋体" w:eastAsia="宋体" w:cs="宋体"/>
                <w:sz w:val="24"/>
                <w:szCs w:val="24"/>
              </w:rPr>
              <w:t>安全技术测评：包括安全物理环境、安全通信网络、安全区域边界、安全计算环境、安全管理中心等五个方面的安全测评。</w:t>
            </w:r>
          </w:p>
          <w:p w14:paraId="1015BAF7">
            <w:pPr>
              <w:rPr>
                <w:rFonts w:hint="eastAsia" w:ascii="宋体" w:hAnsi="宋体" w:eastAsia="宋体" w:cs="宋体"/>
                <w:sz w:val="24"/>
                <w:szCs w:val="24"/>
              </w:rPr>
            </w:pPr>
            <w:r>
              <w:rPr>
                <w:rFonts w:hint="eastAsia" w:ascii="宋体" w:hAnsi="宋体" w:eastAsia="宋体" w:cs="宋体"/>
                <w:sz w:val="24"/>
                <w:szCs w:val="24"/>
              </w:rPr>
              <w:t>安全管理测评：安全管理制度、安全管理制机构、安全管理人员、安全建设管理和安全运维管理等五个方面的安全测评。</w:t>
            </w:r>
          </w:p>
          <w:p w14:paraId="0AD183AD">
            <w:pPr>
              <w:rPr>
                <w:rFonts w:hint="eastAsia" w:ascii="宋体" w:hAnsi="宋体" w:eastAsia="宋体" w:cs="宋体"/>
                <w:sz w:val="24"/>
                <w:szCs w:val="24"/>
              </w:rPr>
            </w:pPr>
            <w:r>
              <w:rPr>
                <w:rFonts w:hint="eastAsia" w:ascii="宋体" w:hAnsi="宋体" w:eastAsia="宋体" w:cs="宋体"/>
                <w:sz w:val="24"/>
                <w:szCs w:val="24"/>
              </w:rPr>
              <w:t>整体测评在单元测评的基础上进行进一步测评分析，在内容上主要包括安全控制间、层面间和区域间相互作用的安全测评以及系统结构的安全测评等。</w:t>
            </w:r>
          </w:p>
          <w:p w14:paraId="15AB05BF">
            <w:pPr>
              <w:rPr>
                <w:rFonts w:hint="eastAsia" w:ascii="宋体" w:hAnsi="宋体" w:eastAsia="宋体" w:cs="宋体"/>
                <w:sz w:val="24"/>
                <w:szCs w:val="24"/>
              </w:rPr>
            </w:pPr>
            <w:r>
              <w:rPr>
                <w:rFonts w:hint="eastAsia" w:ascii="宋体" w:hAnsi="宋体" w:eastAsia="宋体" w:cs="宋体"/>
                <w:sz w:val="24"/>
                <w:szCs w:val="24"/>
              </w:rPr>
              <w:t>（1）安全物理环境</w:t>
            </w:r>
          </w:p>
          <w:p w14:paraId="1864B570">
            <w:pPr>
              <w:rPr>
                <w:rFonts w:hint="eastAsia" w:ascii="宋体" w:hAnsi="宋体" w:eastAsia="宋体" w:cs="宋体"/>
                <w:sz w:val="24"/>
                <w:szCs w:val="24"/>
              </w:rPr>
            </w:pPr>
            <w:r>
              <w:rPr>
                <w:rFonts w:hint="eastAsia" w:ascii="宋体" w:hAnsi="宋体" w:eastAsia="宋体" w:cs="宋体"/>
                <w:sz w:val="24"/>
                <w:szCs w:val="24"/>
              </w:rPr>
              <w:t>主要包含物理位置选择、物理访问控制、防盗窃和防破坏、防雷击、防火、防水和防潮、防静电、温湿度控制、电力供应、电磁防护等方面的内容。</w:t>
            </w:r>
          </w:p>
          <w:p w14:paraId="193ECD01">
            <w:pPr>
              <w:rPr>
                <w:rFonts w:hint="eastAsia" w:ascii="宋体" w:hAnsi="宋体" w:eastAsia="宋体" w:cs="宋体"/>
                <w:sz w:val="24"/>
                <w:szCs w:val="24"/>
              </w:rPr>
            </w:pPr>
            <w:r>
              <w:rPr>
                <w:rFonts w:hint="eastAsia" w:ascii="宋体" w:hAnsi="宋体" w:eastAsia="宋体" w:cs="宋体"/>
                <w:sz w:val="24"/>
                <w:szCs w:val="24"/>
              </w:rPr>
              <w:t>（2）安全通信网络</w:t>
            </w:r>
          </w:p>
          <w:p w14:paraId="6BECF45D">
            <w:pPr>
              <w:rPr>
                <w:rFonts w:hint="eastAsia" w:ascii="宋体" w:hAnsi="宋体" w:eastAsia="宋体" w:cs="宋体"/>
                <w:sz w:val="24"/>
                <w:szCs w:val="24"/>
              </w:rPr>
            </w:pPr>
            <w:r>
              <w:rPr>
                <w:rFonts w:hint="eastAsia" w:ascii="宋体" w:hAnsi="宋体" w:eastAsia="宋体" w:cs="宋体"/>
                <w:sz w:val="24"/>
                <w:szCs w:val="24"/>
              </w:rPr>
              <w:t>主要包含网络架构、通信传输、可信验证等方面的内容。</w:t>
            </w:r>
          </w:p>
          <w:p w14:paraId="48CEDF41">
            <w:pPr>
              <w:rPr>
                <w:rFonts w:hint="eastAsia" w:ascii="宋体" w:hAnsi="宋体" w:eastAsia="宋体" w:cs="宋体"/>
                <w:sz w:val="24"/>
                <w:szCs w:val="24"/>
              </w:rPr>
            </w:pPr>
            <w:r>
              <w:rPr>
                <w:rFonts w:hint="eastAsia" w:ascii="宋体" w:hAnsi="宋体" w:eastAsia="宋体" w:cs="宋体"/>
                <w:sz w:val="24"/>
                <w:szCs w:val="24"/>
              </w:rPr>
              <w:t>（3）安全区域边界</w:t>
            </w:r>
          </w:p>
          <w:p w14:paraId="6FCCC905">
            <w:pPr>
              <w:rPr>
                <w:rFonts w:hint="eastAsia" w:ascii="宋体" w:hAnsi="宋体" w:eastAsia="宋体" w:cs="宋体"/>
                <w:sz w:val="24"/>
                <w:szCs w:val="24"/>
              </w:rPr>
            </w:pPr>
            <w:r>
              <w:rPr>
                <w:rFonts w:hint="eastAsia" w:ascii="宋体" w:hAnsi="宋体" w:eastAsia="宋体" w:cs="宋体"/>
                <w:sz w:val="24"/>
                <w:szCs w:val="24"/>
              </w:rPr>
              <w:t>主要包含边界防护、访问控制、入侵防范、恶意代码和垃圾邮件防范、安全审计、可信验证等方面的内容。</w:t>
            </w:r>
          </w:p>
          <w:p w14:paraId="55B8B0F5">
            <w:pPr>
              <w:rPr>
                <w:rFonts w:hint="eastAsia" w:ascii="宋体" w:hAnsi="宋体" w:eastAsia="宋体" w:cs="宋体"/>
                <w:sz w:val="24"/>
                <w:szCs w:val="24"/>
              </w:rPr>
            </w:pPr>
            <w:r>
              <w:rPr>
                <w:rFonts w:hint="eastAsia" w:ascii="宋体" w:hAnsi="宋体" w:eastAsia="宋体" w:cs="宋体"/>
                <w:sz w:val="24"/>
                <w:szCs w:val="24"/>
              </w:rPr>
              <w:t>（4）安全计算环境</w:t>
            </w:r>
          </w:p>
          <w:p w14:paraId="55074280">
            <w:pPr>
              <w:rPr>
                <w:rFonts w:hint="eastAsia" w:ascii="宋体" w:hAnsi="宋体" w:eastAsia="宋体" w:cs="宋体"/>
                <w:sz w:val="24"/>
                <w:szCs w:val="24"/>
              </w:rPr>
            </w:pPr>
            <w:r>
              <w:rPr>
                <w:rFonts w:hint="eastAsia" w:ascii="宋体" w:hAnsi="宋体" w:eastAsia="宋体" w:cs="宋体"/>
                <w:sz w:val="24"/>
                <w:szCs w:val="24"/>
              </w:rPr>
              <w:t>主要包含身份鉴别、访问控制、安全审计、入侵防范、恶意代码防范、可信验证、数据完整性、数据保密性、数据备份恢复、剩余信息保护、个人信息保护等方面的内容。</w:t>
            </w:r>
          </w:p>
          <w:p w14:paraId="41356D71">
            <w:pPr>
              <w:rPr>
                <w:rFonts w:hint="eastAsia" w:ascii="宋体" w:hAnsi="宋体" w:eastAsia="宋体" w:cs="宋体"/>
                <w:sz w:val="24"/>
                <w:szCs w:val="24"/>
              </w:rPr>
            </w:pPr>
            <w:r>
              <w:rPr>
                <w:rFonts w:hint="eastAsia" w:ascii="宋体" w:hAnsi="宋体" w:eastAsia="宋体" w:cs="宋体"/>
                <w:sz w:val="24"/>
                <w:szCs w:val="24"/>
              </w:rPr>
              <w:t>（5）安全管理中心</w:t>
            </w:r>
          </w:p>
          <w:p w14:paraId="2C6A5971">
            <w:pPr>
              <w:rPr>
                <w:rFonts w:hint="eastAsia" w:ascii="宋体" w:hAnsi="宋体" w:eastAsia="宋体" w:cs="宋体"/>
                <w:sz w:val="24"/>
                <w:szCs w:val="24"/>
              </w:rPr>
            </w:pPr>
            <w:r>
              <w:rPr>
                <w:rFonts w:hint="eastAsia" w:ascii="宋体" w:hAnsi="宋体" w:eastAsia="宋体" w:cs="宋体"/>
                <w:sz w:val="24"/>
                <w:szCs w:val="24"/>
              </w:rPr>
              <w:t>主要包含系统管理、审计管理、安全管理、集中管控等方面的内容。</w:t>
            </w:r>
          </w:p>
          <w:p w14:paraId="67CC281F">
            <w:pPr>
              <w:rPr>
                <w:rFonts w:hint="eastAsia" w:ascii="宋体" w:hAnsi="宋体" w:eastAsia="宋体" w:cs="宋体"/>
                <w:sz w:val="24"/>
                <w:szCs w:val="24"/>
              </w:rPr>
            </w:pPr>
            <w:r>
              <w:rPr>
                <w:rFonts w:hint="eastAsia" w:ascii="宋体" w:hAnsi="宋体" w:eastAsia="宋体" w:cs="宋体"/>
                <w:sz w:val="24"/>
                <w:szCs w:val="24"/>
              </w:rPr>
              <w:t>（6）安全管理制度</w:t>
            </w:r>
          </w:p>
          <w:p w14:paraId="0C93DF57">
            <w:pPr>
              <w:rPr>
                <w:rFonts w:hint="eastAsia" w:ascii="宋体" w:hAnsi="宋体" w:eastAsia="宋体" w:cs="宋体"/>
                <w:sz w:val="24"/>
                <w:szCs w:val="24"/>
              </w:rPr>
            </w:pPr>
            <w:r>
              <w:rPr>
                <w:rFonts w:hint="eastAsia" w:ascii="宋体" w:hAnsi="宋体" w:eastAsia="宋体" w:cs="宋体"/>
                <w:sz w:val="24"/>
                <w:szCs w:val="24"/>
              </w:rPr>
              <w:t>主要包含安全策略、管理制度、制定和发布、评审和修订等方面的内容。</w:t>
            </w:r>
          </w:p>
          <w:p w14:paraId="7DAB4197">
            <w:pPr>
              <w:rPr>
                <w:rFonts w:hint="eastAsia" w:ascii="宋体" w:hAnsi="宋体" w:eastAsia="宋体" w:cs="宋体"/>
                <w:sz w:val="24"/>
                <w:szCs w:val="24"/>
              </w:rPr>
            </w:pPr>
            <w:r>
              <w:rPr>
                <w:rFonts w:hint="eastAsia" w:ascii="宋体" w:hAnsi="宋体" w:eastAsia="宋体" w:cs="宋体"/>
                <w:sz w:val="24"/>
                <w:szCs w:val="24"/>
              </w:rPr>
              <w:t>（7）安全管理机构</w:t>
            </w:r>
          </w:p>
          <w:p w14:paraId="19B4CA9D">
            <w:pPr>
              <w:rPr>
                <w:rFonts w:hint="eastAsia" w:ascii="宋体" w:hAnsi="宋体" w:eastAsia="宋体" w:cs="宋体"/>
                <w:sz w:val="24"/>
                <w:szCs w:val="24"/>
              </w:rPr>
            </w:pPr>
            <w:r>
              <w:rPr>
                <w:rFonts w:hint="eastAsia" w:ascii="宋体" w:hAnsi="宋体" w:eastAsia="宋体" w:cs="宋体"/>
                <w:sz w:val="24"/>
                <w:szCs w:val="24"/>
              </w:rPr>
              <w:t>主要包含岗位设置、人员配备、授权和审批、沟通和合作、审核和检查等方面的内容。</w:t>
            </w:r>
          </w:p>
          <w:p w14:paraId="21E7C700">
            <w:pPr>
              <w:rPr>
                <w:rFonts w:hint="eastAsia" w:ascii="宋体" w:hAnsi="宋体" w:eastAsia="宋体" w:cs="宋体"/>
                <w:sz w:val="24"/>
                <w:szCs w:val="24"/>
              </w:rPr>
            </w:pPr>
            <w:r>
              <w:rPr>
                <w:rFonts w:hint="eastAsia" w:ascii="宋体" w:hAnsi="宋体" w:eastAsia="宋体" w:cs="宋体"/>
                <w:sz w:val="24"/>
                <w:szCs w:val="24"/>
              </w:rPr>
              <w:t>（8）安全管理人员</w:t>
            </w:r>
          </w:p>
          <w:p w14:paraId="0B1E2912">
            <w:pPr>
              <w:rPr>
                <w:rFonts w:hint="eastAsia" w:ascii="宋体" w:hAnsi="宋体" w:eastAsia="宋体" w:cs="宋体"/>
                <w:sz w:val="24"/>
                <w:szCs w:val="24"/>
              </w:rPr>
            </w:pPr>
            <w:r>
              <w:rPr>
                <w:rFonts w:hint="eastAsia" w:ascii="宋体" w:hAnsi="宋体" w:eastAsia="宋体" w:cs="宋体"/>
                <w:sz w:val="24"/>
                <w:szCs w:val="24"/>
              </w:rPr>
              <w:t>主要包含人员录用、人员离岗、安全意识教育和培训、外部人员访问管理等方面的内容。</w:t>
            </w:r>
          </w:p>
          <w:p w14:paraId="7FE85188">
            <w:pPr>
              <w:rPr>
                <w:rFonts w:hint="eastAsia" w:ascii="宋体" w:hAnsi="宋体" w:eastAsia="宋体" w:cs="宋体"/>
                <w:sz w:val="24"/>
                <w:szCs w:val="24"/>
              </w:rPr>
            </w:pPr>
            <w:r>
              <w:rPr>
                <w:rFonts w:hint="eastAsia" w:ascii="宋体" w:hAnsi="宋体" w:eastAsia="宋体" w:cs="宋体"/>
                <w:sz w:val="24"/>
                <w:szCs w:val="24"/>
              </w:rPr>
              <w:t>（9）安全建设管理</w:t>
            </w:r>
          </w:p>
          <w:p w14:paraId="32CA4F0A">
            <w:pPr>
              <w:rPr>
                <w:rFonts w:hint="eastAsia" w:ascii="宋体" w:hAnsi="宋体" w:eastAsia="宋体" w:cs="宋体"/>
                <w:sz w:val="24"/>
                <w:szCs w:val="24"/>
              </w:rPr>
            </w:pPr>
            <w:r>
              <w:rPr>
                <w:rFonts w:hint="eastAsia" w:ascii="宋体" w:hAnsi="宋体" w:eastAsia="宋体" w:cs="宋体"/>
                <w:sz w:val="24"/>
                <w:szCs w:val="24"/>
              </w:rPr>
              <w:t>主要包含定级和备案、安全方案设计、产品采购和使用、自行软件开发、外包软件开发、工程实施、测试验收、系统交付、等级测评、服务供应商选择等方面的内容。</w:t>
            </w:r>
          </w:p>
          <w:p w14:paraId="30D16BC2">
            <w:pPr>
              <w:rPr>
                <w:rFonts w:hint="eastAsia" w:ascii="宋体" w:hAnsi="宋体" w:eastAsia="宋体" w:cs="宋体"/>
                <w:sz w:val="24"/>
                <w:szCs w:val="24"/>
              </w:rPr>
            </w:pPr>
            <w:r>
              <w:rPr>
                <w:rFonts w:hint="eastAsia" w:ascii="宋体" w:hAnsi="宋体" w:eastAsia="宋体" w:cs="宋体"/>
                <w:sz w:val="24"/>
                <w:szCs w:val="24"/>
              </w:rPr>
              <w:t>（10）安全运维管理</w:t>
            </w:r>
          </w:p>
          <w:p w14:paraId="5F5554CB">
            <w:pPr>
              <w:rPr>
                <w:rFonts w:hint="eastAsia" w:ascii="宋体" w:hAnsi="宋体" w:eastAsia="宋体" w:cs="宋体"/>
                <w:bCs/>
                <w:snapToGrid w:val="0"/>
                <w:color w:val="000000"/>
                <w:kern w:val="24"/>
                <w:sz w:val="24"/>
                <w:szCs w:val="24"/>
              </w:rPr>
            </w:pPr>
            <w:r>
              <w:rPr>
                <w:rFonts w:hint="eastAsia" w:ascii="宋体" w:hAnsi="宋体" w:eastAsia="宋体" w:cs="宋体"/>
                <w:sz w:val="24"/>
                <w:szCs w:val="24"/>
              </w:rPr>
              <w:t>主要包含环境管理、资产管理、介质管理、设备维护管理、漏洞和风险管理、网络和系统安全管理、恶意代码防范管理、配置管理、密码管理、变更管理、备份与恢复管理、安全事件处置、应急预案管理、外包运维管理等方面的内容。</w:t>
            </w:r>
          </w:p>
          <w:p w14:paraId="6FD63344">
            <w:pPr>
              <w:rPr>
                <w:rFonts w:hint="eastAsia" w:ascii="宋体" w:hAnsi="宋体" w:eastAsia="宋体" w:cs="宋体"/>
                <w:sz w:val="24"/>
                <w:szCs w:val="24"/>
                <w:lang w:val="en-US" w:eastAsia="zh-CN"/>
              </w:rPr>
            </w:pPr>
          </w:p>
        </w:tc>
      </w:tr>
      <w:tr w14:paraId="6857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3AB24E45">
            <w:pPr>
              <w:jc w:val="center"/>
              <w:rPr>
                <w:rFonts w:hint="eastAsia" w:ascii="宋体" w:hAnsi="宋体" w:eastAsia="宋体"/>
              </w:rPr>
            </w:pPr>
          </w:p>
        </w:tc>
        <w:tc>
          <w:tcPr>
            <w:tcW w:w="530" w:type="dxa"/>
            <w:vAlign w:val="center"/>
          </w:tcPr>
          <w:p w14:paraId="41ECA8B8">
            <w:pPr>
              <w:jc w:val="center"/>
              <w:rPr>
                <w:rFonts w:hint="eastAsia" w:ascii="宋体" w:hAnsi="宋体" w:eastAsia="宋体"/>
                <w:b/>
                <w:bCs w:val="0"/>
                <w:sz w:val="24"/>
                <w:szCs w:val="24"/>
                <w:lang w:val="en-US" w:eastAsia="zh-CN"/>
              </w:rPr>
            </w:pPr>
            <w:r>
              <w:rPr>
                <w:rFonts w:hint="eastAsia" w:ascii="宋体" w:hAnsi="宋体" w:eastAsia="宋体" w:cs="黑体"/>
                <w:b/>
                <w:bCs w:val="0"/>
                <w:color w:val="000000"/>
                <w:kern w:val="0"/>
                <w:sz w:val="24"/>
                <w:szCs w:val="24"/>
              </w:rPr>
              <w:t>整体要求</w:t>
            </w:r>
          </w:p>
        </w:tc>
        <w:tc>
          <w:tcPr>
            <w:tcW w:w="7354" w:type="dxa"/>
            <w:gridSpan w:val="2"/>
          </w:tcPr>
          <w:p w14:paraId="7DBA0D06">
            <w:pPr>
              <w:widowControl w:val="0"/>
              <w:spacing w:line="360" w:lineRule="auto"/>
              <w:ind w:firstLine="470" w:firstLineChars="196"/>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在安全等级测评过程中，每个工作阶段、流程、内容、及成果交付严格遵循《信息安全技术 网络安全等级保护测评要求》（GB/T 28448-2019）和《信息安全技术 网络安全等级保护测评过程指南》（GB/T 28449-2019）文件，根据本项目信息系统已完成的定级备案安全等级，开展相应级别的安全等级测评工作，根据测评结果出具相应的单项和整体测评报告，测评报告需得到</w:t>
            </w:r>
            <w:r>
              <w:rPr>
                <w:rFonts w:hint="eastAsia" w:ascii="宋体" w:hAnsi="宋体" w:eastAsia="宋体" w:cs="宋体"/>
                <w:bCs w:val="0"/>
                <w:kern w:val="2"/>
                <w:sz w:val="24"/>
                <w:szCs w:val="24"/>
              </w:rPr>
              <w:t>新蔡县人民医院</w:t>
            </w:r>
            <w:r>
              <w:rPr>
                <w:rFonts w:hint="eastAsia" w:ascii="宋体" w:hAnsi="宋体" w:eastAsia="宋体" w:cs="宋体"/>
                <w:bCs w:val="0"/>
                <w:color w:val="000000"/>
                <w:kern w:val="0"/>
                <w:sz w:val="24"/>
                <w:szCs w:val="24"/>
              </w:rPr>
              <w:t>的确认，并协助</w:t>
            </w:r>
            <w:r>
              <w:rPr>
                <w:rFonts w:hint="eastAsia" w:ascii="宋体" w:hAnsi="宋体" w:eastAsia="宋体" w:cs="宋体"/>
                <w:bCs w:val="0"/>
                <w:kern w:val="2"/>
                <w:sz w:val="24"/>
                <w:szCs w:val="24"/>
              </w:rPr>
              <w:t>新蔡县人民医院</w:t>
            </w:r>
            <w:r>
              <w:rPr>
                <w:rFonts w:hint="eastAsia" w:ascii="宋体" w:hAnsi="宋体" w:eastAsia="宋体" w:cs="宋体"/>
                <w:bCs w:val="0"/>
                <w:color w:val="000000"/>
                <w:kern w:val="0"/>
                <w:sz w:val="24"/>
                <w:szCs w:val="24"/>
              </w:rPr>
              <w:t>报备案地网安部门备案。测评报告编制的内容及格式严格遵照《信息系统安全等级测评报告模版》（最新版）进行。</w:t>
            </w:r>
          </w:p>
          <w:p w14:paraId="20FBC920">
            <w:pPr>
              <w:rPr>
                <w:rFonts w:hint="eastAsia" w:ascii="宋体" w:hAnsi="宋体" w:eastAsia="宋体" w:cs="宋体"/>
                <w:sz w:val="24"/>
                <w:szCs w:val="24"/>
                <w:lang w:val="en-US" w:eastAsia="zh-CN"/>
              </w:rPr>
            </w:pPr>
          </w:p>
        </w:tc>
      </w:tr>
      <w:tr w14:paraId="7D44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577272CA">
            <w:pPr>
              <w:jc w:val="center"/>
              <w:rPr>
                <w:rFonts w:hint="eastAsia" w:ascii="宋体" w:hAnsi="宋体" w:eastAsia="宋体"/>
              </w:rPr>
            </w:pPr>
          </w:p>
        </w:tc>
        <w:tc>
          <w:tcPr>
            <w:tcW w:w="530" w:type="dxa"/>
            <w:vAlign w:val="center"/>
          </w:tcPr>
          <w:p w14:paraId="6F60D4DD">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00860B92">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748AC4E2">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1D641094">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550E3E7C">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4B40A3B2">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p w14:paraId="40B28833">
            <w:pPr>
              <w:widowControl w:val="0"/>
              <w:numPr>
                <w:ilvl w:val="0"/>
                <w:numId w:val="0"/>
              </w:numPr>
              <w:spacing w:line="360" w:lineRule="auto"/>
              <w:ind w:leftChars="0"/>
              <w:jc w:val="center"/>
              <w:outlineLvl w:val="2"/>
              <w:rPr>
                <w:rFonts w:ascii="宋体" w:hAnsi="宋体" w:eastAsia="宋体" w:cs="黑体"/>
                <w:b/>
                <w:bCs w:val="0"/>
                <w:color w:val="000000"/>
                <w:kern w:val="0"/>
                <w:sz w:val="24"/>
                <w:szCs w:val="24"/>
              </w:rPr>
            </w:pPr>
            <w:r>
              <w:rPr>
                <w:rFonts w:hint="eastAsia" w:ascii="宋体" w:hAnsi="宋体" w:eastAsia="宋体" w:cs="黑体"/>
                <w:b/>
                <w:bCs w:val="0"/>
                <w:color w:val="000000"/>
                <w:kern w:val="0"/>
                <w:sz w:val="24"/>
                <w:szCs w:val="24"/>
              </w:rPr>
              <w:t>测评依据</w:t>
            </w:r>
          </w:p>
          <w:p w14:paraId="37ACE6C4">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tc>
        <w:tc>
          <w:tcPr>
            <w:tcW w:w="7354" w:type="dxa"/>
            <w:gridSpan w:val="2"/>
          </w:tcPr>
          <w:p w14:paraId="2B02781F">
            <w:pPr>
              <w:spacing w:line="460" w:lineRule="exact"/>
              <w:ind w:firstLine="480"/>
              <w:rPr>
                <w:rFonts w:hint="eastAsia" w:ascii="宋体" w:hAnsi="宋体" w:eastAsia="宋体" w:cs="宋体"/>
                <w:spacing w:val="-6"/>
                <w:sz w:val="24"/>
                <w:szCs w:val="24"/>
              </w:rPr>
            </w:pPr>
            <w:r>
              <w:rPr>
                <w:rFonts w:hint="eastAsia" w:ascii="宋体" w:hAnsi="宋体" w:eastAsia="宋体" w:cs="宋体"/>
                <w:spacing w:val="-6"/>
                <w:sz w:val="24"/>
                <w:szCs w:val="24"/>
              </w:rPr>
              <w:t>投标人提供的服务必须符合下列标准和规范的最新版本，但不限于此：</w:t>
            </w:r>
          </w:p>
          <w:p w14:paraId="68BC2556">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20984-2007：《信息安全技术 信息安全风险评估规范》</w:t>
            </w:r>
          </w:p>
          <w:p w14:paraId="00C078B9">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22239-2019：《信息安全技术 网络安全等级保护基本要求》</w:t>
            </w:r>
          </w:p>
          <w:p w14:paraId="212C3706">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 17859-1999：《信息安全技术 计算机信息系统安全保护等级划分准则》</w:t>
            </w:r>
          </w:p>
          <w:p w14:paraId="1F342D95">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28449-2018：《信息安全技术 网络安全等级保护测评过程指南》</w:t>
            </w:r>
          </w:p>
          <w:p w14:paraId="55F9ABC8">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25058-2019：《信息安全技术 网络安全等级保护实施指南》</w:t>
            </w:r>
          </w:p>
          <w:p w14:paraId="32EFBFEF">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28448-2019：《信息安全技术 网络安全等级保护测评要求》</w:t>
            </w:r>
          </w:p>
          <w:p w14:paraId="3F41FA71">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GB/T 22240-2020：《信息安全技术 网络安全等级保护定级指南》</w:t>
            </w:r>
          </w:p>
          <w:p w14:paraId="03460A3B">
            <w:pPr>
              <w:widowControl w:val="0"/>
              <w:numPr>
                <w:ilvl w:val="0"/>
                <w:numId w:val="1"/>
              </w:numPr>
              <w:spacing w:line="460" w:lineRule="exact"/>
              <w:ind w:left="0" w:firstLine="480"/>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lang w:val="en-US" w:eastAsia="zh-CN" w:bidi="ar-SA"/>
              </w:rPr>
              <w:t>T/ISEAA 001-2020：《网络安全等级保护测评高风险判定指引》</w:t>
            </w:r>
          </w:p>
          <w:p w14:paraId="3F53991D">
            <w:pPr>
              <w:rPr>
                <w:rFonts w:hint="eastAsia" w:ascii="宋体" w:hAnsi="宋体" w:eastAsia="宋体" w:cs="宋体"/>
                <w:sz w:val="24"/>
                <w:szCs w:val="24"/>
                <w:lang w:val="en-US" w:eastAsia="zh-CN"/>
              </w:rPr>
            </w:pPr>
          </w:p>
        </w:tc>
      </w:tr>
      <w:tr w14:paraId="70E1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65855E5B">
            <w:pPr>
              <w:jc w:val="center"/>
              <w:rPr>
                <w:rFonts w:hint="eastAsia" w:ascii="宋体" w:hAnsi="宋体" w:eastAsia="宋体"/>
              </w:rPr>
            </w:pPr>
          </w:p>
        </w:tc>
        <w:tc>
          <w:tcPr>
            <w:tcW w:w="530" w:type="dxa"/>
            <w:vAlign w:val="center"/>
          </w:tcPr>
          <w:p w14:paraId="5D751BF9">
            <w:pPr>
              <w:widowControl w:val="0"/>
              <w:numPr>
                <w:ilvl w:val="0"/>
                <w:numId w:val="0"/>
              </w:numPr>
              <w:spacing w:line="360" w:lineRule="auto"/>
              <w:ind w:leftChars="0"/>
              <w:jc w:val="center"/>
              <w:outlineLvl w:val="2"/>
              <w:rPr>
                <w:rFonts w:ascii="宋体" w:hAnsi="宋体" w:eastAsia="宋体" w:cs="黑体"/>
                <w:b/>
                <w:bCs w:val="0"/>
                <w:color w:val="000000"/>
                <w:kern w:val="0"/>
                <w:sz w:val="24"/>
                <w:szCs w:val="24"/>
              </w:rPr>
            </w:pPr>
            <w:r>
              <w:rPr>
                <w:rFonts w:hint="eastAsia" w:ascii="宋体" w:hAnsi="宋体" w:eastAsia="宋体" w:cs="黑体"/>
                <w:b/>
                <w:bCs w:val="0"/>
                <w:color w:val="000000"/>
                <w:kern w:val="0"/>
                <w:sz w:val="24"/>
                <w:szCs w:val="24"/>
              </w:rPr>
              <w:t>服务周期要求</w:t>
            </w:r>
          </w:p>
          <w:p w14:paraId="4A9EFF36">
            <w:pPr>
              <w:widowControl w:val="0"/>
              <w:numPr>
                <w:ilvl w:val="0"/>
                <w:numId w:val="0"/>
              </w:numPr>
              <w:spacing w:line="360" w:lineRule="auto"/>
              <w:ind w:leftChars="0"/>
              <w:jc w:val="center"/>
              <w:outlineLvl w:val="2"/>
              <w:rPr>
                <w:rFonts w:hint="eastAsia" w:ascii="宋体" w:hAnsi="宋体" w:eastAsia="宋体" w:cs="黑体"/>
                <w:b/>
                <w:bCs w:val="0"/>
                <w:color w:val="000000"/>
                <w:kern w:val="0"/>
                <w:sz w:val="24"/>
                <w:szCs w:val="24"/>
              </w:rPr>
            </w:pPr>
          </w:p>
        </w:tc>
        <w:tc>
          <w:tcPr>
            <w:tcW w:w="7354" w:type="dxa"/>
            <w:gridSpan w:val="2"/>
          </w:tcPr>
          <w:p w14:paraId="13DA9D52">
            <w:pPr>
              <w:rPr>
                <w:rFonts w:hint="eastAsia" w:ascii="宋体" w:hAnsi="宋体" w:eastAsia="宋体" w:cs="宋体"/>
                <w:sz w:val="24"/>
                <w:szCs w:val="24"/>
                <w:lang w:val="en-US" w:eastAsia="zh-CN"/>
              </w:rPr>
            </w:pPr>
            <w:r>
              <w:rPr>
                <w:rFonts w:hint="eastAsia" w:ascii="宋体" w:hAnsi="宋体" w:eastAsia="宋体" w:cs="宋体"/>
                <w:bCs w:val="0"/>
                <w:color w:val="000000"/>
                <w:kern w:val="0"/>
                <w:sz w:val="24"/>
                <w:szCs w:val="24"/>
              </w:rPr>
              <w:t>工程期限：30个工作日内完成。</w:t>
            </w:r>
          </w:p>
        </w:tc>
      </w:tr>
      <w:tr w14:paraId="5D70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57443A63">
            <w:pPr>
              <w:jc w:val="center"/>
              <w:rPr>
                <w:rFonts w:hint="eastAsia" w:ascii="宋体" w:hAnsi="宋体" w:eastAsia="宋体"/>
              </w:rPr>
            </w:pPr>
          </w:p>
        </w:tc>
        <w:tc>
          <w:tcPr>
            <w:tcW w:w="530" w:type="dxa"/>
            <w:vAlign w:val="center"/>
          </w:tcPr>
          <w:p w14:paraId="33321F42">
            <w:pPr>
              <w:widowControl w:val="0"/>
              <w:numPr>
                <w:ilvl w:val="0"/>
                <w:numId w:val="0"/>
              </w:numPr>
              <w:spacing w:line="360" w:lineRule="auto"/>
              <w:ind w:leftChars="0"/>
              <w:jc w:val="center"/>
              <w:outlineLvl w:val="2"/>
              <w:rPr>
                <w:rFonts w:hint="default" w:ascii="宋体" w:hAnsi="宋体" w:eastAsia="宋体" w:cs="黑体"/>
                <w:b/>
                <w:bCs w:val="0"/>
                <w:color w:val="000000"/>
                <w:kern w:val="0"/>
                <w:sz w:val="24"/>
                <w:szCs w:val="24"/>
                <w:lang w:val="en-US" w:eastAsia="zh-CN"/>
              </w:rPr>
            </w:pPr>
            <w:r>
              <w:rPr>
                <w:rFonts w:hint="eastAsia" w:ascii="宋体" w:hAnsi="宋体" w:eastAsia="宋体" w:cs="黑体"/>
                <w:b/>
                <w:bCs w:val="0"/>
                <w:color w:val="000000"/>
                <w:kern w:val="0"/>
                <w:sz w:val="24"/>
                <w:szCs w:val="24"/>
                <w:lang w:val="en-US" w:eastAsia="zh-CN"/>
              </w:rPr>
              <w:t>安全整改</w:t>
            </w:r>
          </w:p>
        </w:tc>
        <w:tc>
          <w:tcPr>
            <w:tcW w:w="7354" w:type="dxa"/>
            <w:gridSpan w:val="2"/>
          </w:tcPr>
          <w:p w14:paraId="2BC9FBE1">
            <w:pPr>
              <w:widowControl w:val="0"/>
              <w:spacing w:line="360" w:lineRule="auto"/>
              <w:ind w:firstLine="480" w:firstLineChars="200"/>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依照《信息安全技术 网络安全等级保护安全设计技术要求》的要求，在系统测评工作的基础上，对信息系统总体信息安全管理和技术方面现状进行全面的分析，制订信息安全等级保护安全建设整改建议方案，并协助完成整改工作。</w:t>
            </w:r>
          </w:p>
          <w:p w14:paraId="44A83BC9">
            <w:pPr>
              <w:rPr>
                <w:rFonts w:hint="eastAsia" w:ascii="宋体" w:hAnsi="宋体" w:eastAsia="宋体" w:cs="宋体"/>
                <w:bCs w:val="0"/>
                <w:color w:val="000000"/>
                <w:kern w:val="0"/>
                <w:sz w:val="24"/>
                <w:szCs w:val="24"/>
              </w:rPr>
            </w:pPr>
          </w:p>
        </w:tc>
      </w:tr>
      <w:tr w14:paraId="4FD0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36" w:type="dxa"/>
            <w:vMerge w:val="continue"/>
            <w:vAlign w:val="center"/>
          </w:tcPr>
          <w:p w14:paraId="4A55F826">
            <w:pPr>
              <w:jc w:val="center"/>
              <w:rPr>
                <w:rFonts w:hint="eastAsia" w:ascii="宋体" w:hAnsi="宋体" w:eastAsia="宋体"/>
              </w:rPr>
            </w:pPr>
          </w:p>
        </w:tc>
        <w:tc>
          <w:tcPr>
            <w:tcW w:w="530" w:type="dxa"/>
            <w:vAlign w:val="center"/>
          </w:tcPr>
          <w:p w14:paraId="2A4BBC01">
            <w:pPr>
              <w:widowControl w:val="0"/>
              <w:numPr>
                <w:ilvl w:val="0"/>
                <w:numId w:val="0"/>
              </w:numPr>
              <w:spacing w:line="360" w:lineRule="auto"/>
              <w:ind w:leftChars="0"/>
              <w:jc w:val="center"/>
              <w:outlineLvl w:val="2"/>
              <w:rPr>
                <w:rFonts w:hint="default" w:ascii="宋体" w:hAnsi="宋体" w:eastAsia="宋体" w:cs="黑体"/>
                <w:b/>
                <w:bCs w:val="0"/>
                <w:color w:val="000000"/>
                <w:kern w:val="0"/>
                <w:sz w:val="24"/>
                <w:szCs w:val="24"/>
                <w:lang w:val="en-US" w:eastAsia="zh-CN"/>
              </w:rPr>
            </w:pPr>
            <w:r>
              <w:rPr>
                <w:rFonts w:hint="eastAsia" w:ascii="宋体" w:hAnsi="宋体" w:eastAsia="宋体" w:cs="黑体"/>
                <w:b/>
                <w:bCs w:val="0"/>
                <w:color w:val="000000"/>
                <w:kern w:val="0"/>
                <w:sz w:val="24"/>
                <w:szCs w:val="24"/>
                <w:lang w:val="en-US" w:eastAsia="zh-CN"/>
              </w:rPr>
              <w:t>交付成果</w:t>
            </w:r>
          </w:p>
        </w:tc>
        <w:tc>
          <w:tcPr>
            <w:tcW w:w="7354" w:type="dxa"/>
            <w:gridSpan w:val="2"/>
          </w:tcPr>
          <w:p w14:paraId="4042B95B">
            <w:pPr>
              <w:widowControl w:val="0"/>
              <w:spacing w:line="360" w:lineRule="auto"/>
              <w:ind w:firstLine="480" w:firstLineChars="200"/>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项目阶段各阶段的测评过程文档（参照《信息安全技术 信息系统安全等级保护测评过程指南》）编制。交付成果包括但不限于：</w:t>
            </w:r>
          </w:p>
          <w:p w14:paraId="16E1331D">
            <w:pPr>
              <w:widowControl w:val="0"/>
              <w:spacing w:line="360" w:lineRule="auto"/>
              <w:ind w:firstLine="480" w:firstLineChars="200"/>
              <w:jc w:val="left"/>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1)</w:t>
            </w:r>
            <w:r>
              <w:rPr>
                <w:rFonts w:hint="eastAsia" w:ascii="宋体" w:hAnsi="宋体" w:eastAsia="宋体" w:cs="宋体"/>
                <w:bCs w:val="0"/>
                <w:color w:val="000000"/>
                <w:kern w:val="0"/>
                <w:sz w:val="24"/>
                <w:szCs w:val="24"/>
              </w:rPr>
              <w:tab/>
            </w:r>
            <w:r>
              <w:rPr>
                <w:rFonts w:hint="eastAsia" w:ascii="宋体" w:hAnsi="宋体" w:eastAsia="宋体" w:cs="宋体"/>
                <w:bCs w:val="0"/>
                <w:color w:val="000000"/>
                <w:kern w:val="0"/>
                <w:sz w:val="24"/>
                <w:szCs w:val="24"/>
              </w:rPr>
              <w:t>网络安全等级保护测评方案</w:t>
            </w:r>
          </w:p>
          <w:p w14:paraId="3BC3D4CF">
            <w:pPr>
              <w:widowControl w:val="0"/>
              <w:spacing w:line="360" w:lineRule="auto"/>
              <w:ind w:firstLine="480" w:firstLineChars="200"/>
              <w:jc w:val="left"/>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2)</w:t>
            </w:r>
            <w:r>
              <w:rPr>
                <w:rFonts w:hint="eastAsia" w:ascii="宋体" w:hAnsi="宋体" w:eastAsia="宋体" w:cs="宋体"/>
                <w:bCs w:val="0"/>
                <w:color w:val="000000"/>
                <w:kern w:val="0"/>
                <w:sz w:val="24"/>
                <w:szCs w:val="24"/>
              </w:rPr>
              <w:tab/>
            </w:r>
            <w:r>
              <w:rPr>
                <w:rFonts w:hint="eastAsia" w:ascii="宋体" w:hAnsi="宋体" w:eastAsia="宋体" w:cs="宋体"/>
                <w:bCs w:val="0"/>
                <w:color w:val="000000"/>
                <w:kern w:val="0"/>
                <w:sz w:val="24"/>
                <w:szCs w:val="24"/>
              </w:rPr>
              <w:t>网络安全等级测评报告</w:t>
            </w:r>
          </w:p>
          <w:p w14:paraId="05886DF5">
            <w:pPr>
              <w:widowControl w:val="0"/>
              <w:spacing w:line="360" w:lineRule="auto"/>
              <w:ind w:firstLine="480" w:firstLineChars="200"/>
              <w:jc w:val="left"/>
              <w:rPr>
                <w:rFonts w:hint="eastAsia" w:ascii="宋体" w:hAnsi="宋体" w:eastAsia="宋体" w:cs="宋体"/>
                <w:bCs w:val="0"/>
                <w:color w:val="000000"/>
                <w:kern w:val="0"/>
                <w:sz w:val="24"/>
                <w:szCs w:val="24"/>
              </w:rPr>
            </w:pPr>
            <w:r>
              <w:rPr>
                <w:rFonts w:hint="eastAsia" w:ascii="宋体" w:hAnsi="宋体" w:eastAsia="宋体" w:cs="宋体"/>
                <w:bCs w:val="0"/>
                <w:color w:val="000000"/>
                <w:kern w:val="0"/>
                <w:sz w:val="24"/>
                <w:szCs w:val="24"/>
              </w:rPr>
              <w:t>3)</w:t>
            </w:r>
            <w:r>
              <w:rPr>
                <w:rFonts w:hint="eastAsia" w:ascii="宋体" w:hAnsi="宋体" w:eastAsia="宋体" w:cs="宋体"/>
                <w:bCs w:val="0"/>
                <w:color w:val="000000"/>
                <w:kern w:val="0"/>
                <w:sz w:val="24"/>
                <w:szCs w:val="24"/>
              </w:rPr>
              <w:tab/>
            </w:r>
            <w:r>
              <w:rPr>
                <w:rFonts w:hint="eastAsia" w:ascii="宋体" w:hAnsi="宋体" w:eastAsia="宋体" w:cs="宋体"/>
                <w:bCs w:val="0"/>
                <w:color w:val="000000"/>
                <w:kern w:val="0"/>
                <w:sz w:val="24"/>
                <w:szCs w:val="24"/>
              </w:rPr>
              <w:t>网络安全整改方案</w:t>
            </w:r>
          </w:p>
          <w:p w14:paraId="19DA39D3">
            <w:pPr>
              <w:widowControl w:val="0"/>
              <w:tabs>
                <w:tab w:val="right" w:leader="dot" w:pos="8296"/>
              </w:tabs>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val="0"/>
                <w:kern w:val="0"/>
                <w:sz w:val="24"/>
                <w:szCs w:val="24"/>
              </w:rPr>
              <w:t>4）信息系统安全等级备案证明（网安部门颁发）</w:t>
            </w:r>
          </w:p>
          <w:p w14:paraId="4126900D">
            <w:pPr>
              <w:rPr>
                <w:rFonts w:hint="eastAsia" w:ascii="宋体" w:hAnsi="宋体" w:eastAsia="宋体" w:cs="宋体"/>
                <w:bCs w:val="0"/>
                <w:color w:val="000000"/>
                <w:kern w:val="0"/>
                <w:sz w:val="24"/>
                <w:szCs w:val="24"/>
              </w:rPr>
            </w:pPr>
          </w:p>
        </w:tc>
      </w:tr>
      <w:tr w14:paraId="411E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vAlign w:val="center"/>
          </w:tcPr>
          <w:p w14:paraId="4247C766">
            <w:pPr>
              <w:rPr>
                <w:rFonts w:ascii="宋体" w:hAnsi="宋体" w:eastAsia="宋体"/>
              </w:rPr>
            </w:pPr>
            <w:r>
              <w:rPr>
                <w:rFonts w:hint="eastAsia" w:ascii="宋体" w:hAnsi="宋体" w:eastAsia="宋体"/>
                <w:b/>
                <w:bCs/>
                <w:sz w:val="36"/>
                <w:szCs w:val="36"/>
                <w:lang w:val="en-US" w:eastAsia="zh-CN"/>
              </w:rPr>
              <w:t>二、网络信息安全技术服务</w:t>
            </w:r>
          </w:p>
        </w:tc>
        <w:tc>
          <w:tcPr>
            <w:tcW w:w="530" w:type="dxa"/>
            <w:vAlign w:val="center"/>
          </w:tcPr>
          <w:p w14:paraId="49FED513">
            <w:pPr>
              <w:rPr>
                <w:rFonts w:hint="eastAsia" w:ascii="宋体" w:hAnsi="宋体" w:eastAsia="宋体" w:cs="宋体"/>
                <w:b/>
                <w:bCs w:val="0"/>
                <w:kern w:val="2"/>
                <w:sz w:val="24"/>
                <w:szCs w:val="24"/>
                <w:lang w:val="en-US" w:eastAsia="zh-CN" w:bidi="ar-SA"/>
              </w:rPr>
            </w:pPr>
            <w:r>
              <w:rPr>
                <w:rFonts w:hint="eastAsia" w:ascii="宋体" w:hAnsi="宋体" w:eastAsia="宋体"/>
                <w:b/>
                <w:bCs w:val="0"/>
                <w:sz w:val="24"/>
                <w:szCs w:val="24"/>
              </w:rPr>
              <w:t>服务说明</w:t>
            </w:r>
          </w:p>
        </w:tc>
        <w:tc>
          <w:tcPr>
            <w:tcW w:w="7354" w:type="dxa"/>
            <w:gridSpan w:val="2"/>
            <w:vAlign w:val="top"/>
          </w:tcPr>
          <w:p w14:paraId="720237A0">
            <w:pP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通过定期的安全服务形式，对医院现有的安全产品进行巡检</w:t>
            </w:r>
            <w:r>
              <w:rPr>
                <w:rFonts w:hint="eastAsia" w:ascii="宋体" w:hAnsi="宋体" w:eastAsia="宋体" w:cs="宋体"/>
                <w:sz w:val="24"/>
                <w:szCs w:val="24"/>
                <w:lang w:eastAsia="zh-CN"/>
              </w:rPr>
              <w:t>、</w:t>
            </w:r>
            <w:r>
              <w:rPr>
                <w:rFonts w:hint="eastAsia" w:ascii="宋体" w:hAnsi="宋体" w:eastAsia="宋体" w:cs="宋体"/>
                <w:sz w:val="24"/>
                <w:szCs w:val="24"/>
              </w:rPr>
              <w:t>策略优化加固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安全漏洞扫描、渗透测试、网络调整</w:t>
            </w:r>
            <w:r>
              <w:rPr>
                <w:rFonts w:hint="default" w:ascii="宋体" w:hAnsi="宋体" w:eastAsia="宋体" w:cs="宋体"/>
                <w:sz w:val="24"/>
                <w:szCs w:val="24"/>
                <w:lang w:val="en-US"/>
              </w:rPr>
              <w:t>,</w:t>
            </w:r>
            <w:r>
              <w:rPr>
                <w:rFonts w:hint="eastAsia" w:ascii="宋体" w:hAnsi="宋体" w:eastAsia="宋体" w:cs="宋体"/>
                <w:sz w:val="24"/>
                <w:szCs w:val="24"/>
              </w:rPr>
              <w:t>分析医院的整体网络安全态势，提高医院的网络安全保障水平。</w:t>
            </w:r>
          </w:p>
        </w:tc>
      </w:tr>
      <w:tr w14:paraId="3B3C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526A9AAA">
            <w:pPr>
              <w:rPr>
                <w:rFonts w:hint="eastAsia" w:ascii="宋体" w:hAnsi="宋体" w:eastAsia="宋体"/>
                <w:b/>
                <w:bCs/>
                <w:sz w:val="36"/>
                <w:szCs w:val="36"/>
                <w:lang w:val="en-US" w:eastAsia="zh-CN"/>
              </w:rPr>
            </w:pPr>
          </w:p>
        </w:tc>
        <w:tc>
          <w:tcPr>
            <w:tcW w:w="530" w:type="dxa"/>
            <w:vAlign w:val="center"/>
          </w:tcPr>
          <w:p w14:paraId="3BD19F2A">
            <w:pPr>
              <w:rPr>
                <w:rFonts w:hint="eastAsia" w:ascii="宋体" w:hAnsi="宋体" w:eastAsia="宋体" w:cs="宋体"/>
                <w:b/>
                <w:bCs w:val="0"/>
                <w:kern w:val="2"/>
                <w:sz w:val="24"/>
                <w:szCs w:val="24"/>
                <w:lang w:val="en-US" w:eastAsia="zh-CN" w:bidi="ar-SA"/>
              </w:rPr>
            </w:pPr>
            <w:r>
              <w:rPr>
                <w:rFonts w:hint="eastAsia" w:ascii="宋体" w:hAnsi="宋体" w:eastAsia="宋体"/>
                <w:b/>
                <w:bCs w:val="0"/>
                <w:sz w:val="24"/>
                <w:szCs w:val="24"/>
              </w:rPr>
              <w:t>服务频次</w:t>
            </w:r>
          </w:p>
        </w:tc>
        <w:tc>
          <w:tcPr>
            <w:tcW w:w="7354" w:type="dxa"/>
            <w:gridSpan w:val="2"/>
            <w:vAlign w:val="top"/>
          </w:tcPr>
          <w:p w14:paraId="3E3F4B16">
            <w:pPr>
              <w:rPr>
                <w:rFonts w:hint="eastAsia" w:ascii="宋体" w:hAnsi="宋体" w:eastAsia="宋体" w:cs="宋体"/>
                <w:kern w:val="2"/>
                <w:sz w:val="24"/>
                <w:szCs w:val="24"/>
                <w:lang w:val="en-US" w:eastAsia="zh-CN" w:bidi="ar-SA"/>
              </w:rPr>
            </w:pPr>
            <w:r>
              <w:rPr>
                <w:rFonts w:hint="eastAsia" w:ascii="宋体" w:hAnsi="宋体" w:eastAsia="宋体" w:cs="宋体"/>
                <w:sz w:val="24"/>
                <w:szCs w:val="24"/>
              </w:rPr>
              <w:t>12次／年（1个月一次）</w:t>
            </w:r>
          </w:p>
        </w:tc>
      </w:tr>
      <w:tr w14:paraId="3049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7D0DA745">
            <w:pPr>
              <w:rPr>
                <w:rFonts w:ascii="宋体" w:hAnsi="宋体" w:eastAsia="宋体"/>
              </w:rPr>
            </w:pPr>
          </w:p>
        </w:tc>
        <w:tc>
          <w:tcPr>
            <w:tcW w:w="530" w:type="dxa"/>
          </w:tcPr>
          <w:p w14:paraId="44723949">
            <w:pPr>
              <w:rPr>
                <w:rFonts w:hint="eastAsia" w:ascii="宋体" w:hAnsi="宋体" w:eastAsia="宋体"/>
                <w:b/>
                <w:bCs w:val="0"/>
                <w:sz w:val="24"/>
                <w:szCs w:val="24"/>
                <w:lang w:val="en-US" w:eastAsia="zh-CN"/>
              </w:rPr>
            </w:pPr>
            <w:r>
              <w:rPr>
                <w:rFonts w:hint="eastAsia" w:ascii="宋体" w:hAnsi="宋体" w:eastAsia="宋体"/>
                <w:b/>
                <w:bCs w:val="0"/>
                <w:sz w:val="24"/>
                <w:szCs w:val="24"/>
              </w:rPr>
              <w:t>安全设备巡检服务</w:t>
            </w:r>
          </w:p>
        </w:tc>
        <w:tc>
          <w:tcPr>
            <w:tcW w:w="7354" w:type="dxa"/>
            <w:gridSpan w:val="2"/>
          </w:tcPr>
          <w:p w14:paraId="01E4B6E2">
            <w:pPr>
              <w:rPr>
                <w:rFonts w:hint="eastAsia" w:ascii="宋体" w:hAnsi="宋体" w:eastAsia="宋体" w:cs="宋体"/>
                <w:sz w:val="24"/>
                <w:szCs w:val="24"/>
              </w:rPr>
            </w:pPr>
            <w:r>
              <w:rPr>
                <w:rFonts w:hint="eastAsia" w:ascii="宋体" w:hAnsi="宋体" w:eastAsia="宋体" w:cs="宋体"/>
                <w:sz w:val="24"/>
                <w:szCs w:val="24"/>
              </w:rPr>
              <w:t>1、设备运行状态检查。查看设备运行日志、分析设备运行状况：对于终端故障进行及时处置。</w:t>
            </w:r>
          </w:p>
          <w:p w14:paraId="497A495E">
            <w:pPr>
              <w:rPr>
                <w:rFonts w:hint="eastAsia" w:ascii="宋体" w:hAnsi="宋体" w:eastAsia="宋体" w:cs="宋体"/>
                <w:sz w:val="24"/>
                <w:szCs w:val="24"/>
              </w:rPr>
            </w:pPr>
            <w:r>
              <w:rPr>
                <w:rFonts w:hint="eastAsia" w:ascii="宋体" w:hAnsi="宋体" w:eastAsia="宋体" w:cs="宋体"/>
                <w:sz w:val="24"/>
                <w:szCs w:val="24"/>
              </w:rPr>
              <w:t>2、策略调优及优化。依据资产情况、业务系统网络流向、日常安全监测情况、近期风险通报结果及安全设备实际策略配置情况，对安全设备协助开展策略配置调优，以持续提升安全运行和防护能力。</w:t>
            </w:r>
          </w:p>
          <w:p w14:paraId="49E24308">
            <w:pPr>
              <w:rPr>
                <w:rFonts w:hint="eastAsia" w:ascii="宋体" w:hAnsi="宋体" w:eastAsia="宋体" w:cs="宋体"/>
                <w:sz w:val="24"/>
                <w:szCs w:val="24"/>
              </w:rPr>
            </w:pPr>
            <w:r>
              <w:rPr>
                <w:rFonts w:hint="eastAsia" w:ascii="宋体" w:hAnsi="宋体" w:eastAsia="宋体" w:cs="宋体"/>
                <w:sz w:val="24"/>
                <w:szCs w:val="24"/>
              </w:rPr>
              <w:t>3、配置备份。对医院现有的网络安全设备和终端安全软件的系统配置和策略配置进行完整备份，在设备发生故障后提供配置快速导入等恢复措施。</w:t>
            </w:r>
          </w:p>
          <w:p w14:paraId="3CF7DE88">
            <w:pPr>
              <w:rPr>
                <w:rFonts w:hint="eastAsia" w:ascii="宋体" w:hAnsi="宋体" w:eastAsia="宋体" w:cs="宋体"/>
                <w:sz w:val="24"/>
                <w:szCs w:val="24"/>
              </w:rPr>
            </w:pPr>
            <w:r>
              <w:rPr>
                <w:rFonts w:hint="eastAsia" w:ascii="宋体" w:hAnsi="宋体" w:eastAsia="宋体" w:cs="宋体"/>
                <w:sz w:val="24"/>
                <w:szCs w:val="24"/>
              </w:rPr>
              <w:t>4、软件及特征库更新升级。对可以进行特征库，病毒库、威胁情报库和漏洞库等特征库升级的安全设备进行更新升级（更新升级原则为同步产品厂商官网更新情况）,服务期内按需提供。</w:t>
            </w:r>
          </w:p>
          <w:p w14:paraId="77F09BCD">
            <w:pPr>
              <w:rPr>
                <w:rFonts w:hint="eastAsia" w:ascii="宋体" w:hAnsi="宋体" w:eastAsia="宋体" w:cs="宋体"/>
                <w:sz w:val="24"/>
                <w:szCs w:val="24"/>
                <w:lang w:eastAsia="zh-CN"/>
              </w:rPr>
            </w:pPr>
            <w:r>
              <w:rPr>
                <w:rFonts w:hint="eastAsia" w:ascii="宋体" w:hAnsi="宋体" w:eastAsia="宋体" w:cs="宋体"/>
                <w:sz w:val="24"/>
                <w:szCs w:val="24"/>
              </w:rPr>
              <w:t>5、安全产品的告警事件梳理和处置，防止医院业务被入侵、篡改、泄露数据</w:t>
            </w:r>
            <w:r>
              <w:rPr>
                <w:rFonts w:hint="eastAsia" w:ascii="宋体" w:hAnsi="宋体" w:eastAsia="宋体" w:cs="宋体"/>
                <w:sz w:val="24"/>
                <w:szCs w:val="24"/>
                <w:lang w:eastAsia="zh-CN"/>
              </w:rPr>
              <w:t>。</w:t>
            </w:r>
          </w:p>
          <w:p w14:paraId="2C1B6F15">
            <w:pPr>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6、每月安全巡检时开展渗透测试，通过真实模拟黑客使用的工具、分析方法对采购人系统开展全方位安全渗透测试，并结合智能工具扫描结果，由高级工程师进行深入的手工测试和分析，识别工具弱点扫描无法发现的问题。主要分析内容包括SQL注入、失效的身份认证和会话管理、跨站脚本攻击XSS、直接引用不安全的对象、安全配置错误、缺少功能级的访问控制、跨站请求伪造CSF、使用含有已知漏洞的组件、逻辑缺陷、上传绕过、输入输出校验绕过、数据篡改、功能绕过、异常错误等以及其他专项内容测试与分析，重点发现应用层业务流程和逻辑上的安全漏洞和敏感信息泄露的风险，测试完成后出具《渗透测试报告》，报告需包含测试安全漏洞情况及整改加固建议，根据报告进行网络安全漏洞整改加固工作，并待加固完成后进行复测，检查安全漏洞整改落实情况，出具《渗透测试复测报告》。</w:t>
            </w:r>
          </w:p>
          <w:p w14:paraId="45AFE379">
            <w:pPr>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、以上内容分析完成后出具《网络安全巡检报告》，协助采购人每月通过报告了解系统运行状况统计、故障统计与分析、故障恢复时长、整体维护工作等，便于监控和责任到人的解决问题和预警。</w:t>
            </w:r>
          </w:p>
        </w:tc>
      </w:tr>
      <w:tr w14:paraId="7EC5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358CB8E2">
            <w:pPr>
              <w:rPr>
                <w:rFonts w:ascii="宋体" w:hAnsi="宋体" w:eastAsia="宋体"/>
              </w:rPr>
            </w:pPr>
          </w:p>
        </w:tc>
        <w:tc>
          <w:tcPr>
            <w:tcW w:w="530" w:type="dxa"/>
          </w:tcPr>
          <w:p w14:paraId="49F87CAA">
            <w:pPr>
              <w:numPr>
                <w:ilvl w:val="0"/>
                <w:numId w:val="0"/>
              </w:numPr>
              <w:rPr>
                <w:rFonts w:hint="eastAsia" w:ascii="宋体" w:hAnsi="宋体" w:eastAsia="宋体"/>
                <w:b/>
                <w:bCs w:val="0"/>
                <w:sz w:val="24"/>
                <w:szCs w:val="24"/>
              </w:rPr>
            </w:pPr>
          </w:p>
          <w:p w14:paraId="4044A060">
            <w:pPr>
              <w:numPr>
                <w:ilvl w:val="0"/>
                <w:numId w:val="0"/>
              </w:numPr>
              <w:rPr>
                <w:rFonts w:hint="eastAsia" w:ascii="宋体" w:hAnsi="宋体" w:eastAsia="宋体"/>
                <w:b/>
                <w:bCs w:val="0"/>
                <w:sz w:val="24"/>
                <w:szCs w:val="24"/>
              </w:rPr>
            </w:pPr>
          </w:p>
          <w:p w14:paraId="5CC655EF">
            <w:pPr>
              <w:numPr>
                <w:ilvl w:val="0"/>
                <w:numId w:val="0"/>
              </w:numPr>
              <w:rPr>
                <w:rFonts w:hint="eastAsia" w:ascii="宋体" w:hAnsi="宋体" w:eastAsia="宋体"/>
                <w:b/>
                <w:bCs w:val="0"/>
                <w:sz w:val="24"/>
                <w:szCs w:val="24"/>
              </w:rPr>
            </w:pPr>
          </w:p>
          <w:p w14:paraId="0DB5BE6D">
            <w:pPr>
              <w:numPr>
                <w:ilvl w:val="0"/>
                <w:numId w:val="0"/>
              </w:numPr>
              <w:rPr>
                <w:rFonts w:hint="eastAsia" w:ascii="宋体" w:hAnsi="宋体" w:eastAsia="宋体"/>
                <w:b/>
                <w:bCs w:val="0"/>
                <w:sz w:val="24"/>
                <w:szCs w:val="24"/>
              </w:rPr>
            </w:pPr>
          </w:p>
          <w:p w14:paraId="7C58236B">
            <w:pPr>
              <w:numPr>
                <w:ilvl w:val="0"/>
                <w:numId w:val="0"/>
              </w:numPr>
              <w:rPr>
                <w:rFonts w:hint="eastAsia" w:ascii="宋体" w:hAnsi="宋体" w:eastAsia="宋体"/>
                <w:b/>
                <w:bCs w:val="0"/>
                <w:sz w:val="24"/>
                <w:szCs w:val="24"/>
              </w:rPr>
            </w:pPr>
          </w:p>
          <w:p w14:paraId="478323DF">
            <w:pPr>
              <w:numPr>
                <w:ilvl w:val="0"/>
                <w:numId w:val="0"/>
              </w:numPr>
              <w:rPr>
                <w:rFonts w:hint="eastAsia" w:ascii="宋体" w:hAnsi="宋体" w:eastAsia="宋体"/>
                <w:b/>
                <w:bCs w:val="0"/>
                <w:sz w:val="24"/>
                <w:szCs w:val="24"/>
              </w:rPr>
            </w:pPr>
          </w:p>
          <w:p w14:paraId="07D472E9">
            <w:pPr>
              <w:numPr>
                <w:ilvl w:val="0"/>
                <w:numId w:val="0"/>
              </w:numPr>
              <w:rPr>
                <w:rFonts w:hint="eastAsia" w:ascii="宋体" w:hAnsi="宋体" w:eastAsia="宋体"/>
                <w:b/>
                <w:bCs w:val="0"/>
                <w:sz w:val="24"/>
                <w:szCs w:val="24"/>
              </w:rPr>
            </w:pPr>
          </w:p>
          <w:p w14:paraId="170D2C99">
            <w:pPr>
              <w:numPr>
                <w:ilvl w:val="0"/>
                <w:numId w:val="0"/>
              </w:numPr>
              <w:rPr>
                <w:rFonts w:hint="eastAsia" w:ascii="宋体" w:hAnsi="宋体" w:eastAsia="宋体"/>
                <w:b/>
                <w:bCs w:val="0"/>
                <w:sz w:val="24"/>
                <w:szCs w:val="24"/>
              </w:rPr>
            </w:pPr>
          </w:p>
          <w:p w14:paraId="11A7B85B">
            <w:pPr>
              <w:numPr>
                <w:ilvl w:val="0"/>
                <w:numId w:val="0"/>
              </w:numPr>
              <w:rPr>
                <w:rFonts w:hint="eastAsia" w:ascii="宋体" w:hAnsi="宋体" w:eastAsia="宋体"/>
                <w:b/>
                <w:bCs w:val="0"/>
                <w:sz w:val="24"/>
                <w:szCs w:val="24"/>
              </w:rPr>
            </w:pPr>
          </w:p>
          <w:p w14:paraId="1AD33FB3">
            <w:pPr>
              <w:numPr>
                <w:ilvl w:val="0"/>
                <w:numId w:val="0"/>
              </w:numPr>
              <w:rPr>
                <w:rFonts w:hint="eastAsia" w:ascii="宋体" w:hAnsi="宋体" w:eastAsia="宋体"/>
                <w:b/>
                <w:bCs w:val="0"/>
                <w:sz w:val="24"/>
                <w:szCs w:val="24"/>
              </w:rPr>
            </w:pPr>
          </w:p>
          <w:p w14:paraId="7498A807">
            <w:pPr>
              <w:numPr>
                <w:ilvl w:val="0"/>
                <w:numId w:val="0"/>
              </w:numPr>
              <w:rPr>
                <w:rFonts w:hint="eastAsia" w:ascii="宋体" w:hAnsi="宋体" w:eastAsia="宋体"/>
                <w:b/>
                <w:bCs w:val="0"/>
                <w:sz w:val="24"/>
                <w:szCs w:val="24"/>
              </w:rPr>
            </w:pPr>
          </w:p>
          <w:p w14:paraId="7F92C8B0">
            <w:pPr>
              <w:numPr>
                <w:ilvl w:val="0"/>
                <w:numId w:val="0"/>
              </w:numPr>
              <w:rPr>
                <w:rFonts w:hint="eastAsia" w:ascii="宋体" w:hAnsi="宋体" w:eastAsia="宋体"/>
                <w:b/>
                <w:bCs w:val="0"/>
                <w:sz w:val="24"/>
                <w:szCs w:val="24"/>
              </w:rPr>
            </w:pPr>
            <w:r>
              <w:rPr>
                <w:rFonts w:hint="eastAsia" w:ascii="宋体" w:hAnsi="宋体" w:eastAsia="宋体"/>
                <w:b/>
                <w:bCs w:val="0"/>
                <w:sz w:val="24"/>
                <w:szCs w:val="24"/>
              </w:rPr>
              <w:t>网络安全态势分析服务</w:t>
            </w:r>
          </w:p>
        </w:tc>
        <w:tc>
          <w:tcPr>
            <w:tcW w:w="7354" w:type="dxa"/>
            <w:gridSpan w:val="2"/>
          </w:tcPr>
          <w:p w14:paraId="04DE7E7A">
            <w:pPr>
              <w:rPr>
                <w:rFonts w:hint="eastAsia" w:ascii="宋体" w:hAnsi="宋体" w:eastAsia="宋体" w:cs="宋体"/>
                <w:sz w:val="24"/>
                <w:szCs w:val="24"/>
              </w:rPr>
            </w:pPr>
            <w:r>
              <w:rPr>
                <w:rFonts w:hint="eastAsia" w:ascii="宋体" w:hAnsi="宋体" w:eastAsia="宋体" w:cs="宋体"/>
                <w:sz w:val="24"/>
                <w:szCs w:val="24"/>
              </w:rPr>
              <w:t>投标</w:t>
            </w:r>
            <w:r>
              <w:rPr>
                <w:rFonts w:hint="eastAsia" w:ascii="宋体" w:hAnsi="宋体" w:eastAsia="宋体" w:cs="宋体"/>
                <w:sz w:val="24"/>
                <w:szCs w:val="24"/>
                <w:lang w:val="en-US" w:eastAsia="zh-CN"/>
              </w:rPr>
              <w:t>供应商</w:t>
            </w:r>
            <w:r>
              <w:rPr>
                <w:rFonts w:hint="eastAsia" w:ascii="宋体" w:hAnsi="宋体" w:eastAsia="宋体" w:cs="宋体"/>
                <w:sz w:val="24"/>
                <w:szCs w:val="24"/>
              </w:rPr>
              <w:t>提供服务工具对医院内网流量及互联网对外服务的关键主机流量进行全面采集和安全分析，服务内容如下：</w:t>
            </w:r>
          </w:p>
          <w:p w14:paraId="567C9CF1">
            <w:pPr>
              <w:numPr>
                <w:ilvl w:val="0"/>
                <w:numId w:val="2"/>
              </w:numPr>
              <w:rPr>
                <w:rFonts w:hint="eastAsia" w:ascii="宋体" w:hAnsi="宋体" w:eastAsia="宋体" w:cs="宋体"/>
                <w:sz w:val="24"/>
                <w:szCs w:val="24"/>
              </w:rPr>
            </w:pPr>
            <w:r>
              <w:rPr>
                <w:rFonts w:hint="eastAsia" w:ascii="宋体" w:hAnsi="宋体" w:eastAsia="宋体" w:cs="宋体"/>
                <w:sz w:val="24"/>
                <w:szCs w:val="24"/>
              </w:rPr>
              <w:t>全面梳理医院网络资产信息，通过识别联网的资产，获取端口、协议和产品信息，对网络风险资产进行全面、准确的梳理，完善资产台账，并通过快速、轻量级漏洞专扫及POC验证主动发现医院网络关键服务器资产上面存在的安全漏洞、弱口令、风险端口等可被攻击者利用的安全风险，可分类查看风险，风险分类包括：木马或后门、漏洞违规、安装代理软件、开放高危端口及服务、开放非标端口、集成工具、扫描器、远程运维等。</w:t>
            </w:r>
          </w:p>
          <w:p w14:paraId="6BCC636B">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针对医院网络内部提供互联网对外服务的关键服务器进行分析：基于操作系统中的异常进程访问、恶意文件读写、账户非法提权等行为特征综合分析操作系统中的黑客行为并形成告警事件（可发现的入侵行为包括：应用存在命令执行漏洞、发现已知webshell、发现未知webshell、敏感文件读取报警、危险命令执行报警等事件类型），分析主机是否存在网页木马、二进制后门、操作系统弱口令、漏洞等高危安全隐患。</w:t>
            </w:r>
          </w:p>
          <w:p w14:paraId="76E122BB">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梳理医院网络中服务器高危漏洞和服务，识别反弹shell、Redis命令执行、DNS Tunnel、反序列化攻击等高危行为。抓取的信息包括源IP、目的IP、up_payload、down_payload等；</w:t>
            </w:r>
          </w:p>
          <w:p w14:paraId="6D3E6B4E">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针对医院网络中的数据库服务器敏感操作行为进行梳理，识别数据库内置高危存储过程、数据库敏感操作、数据库权限提升、非常规操作等危险的数据库操作行为；</w:t>
            </w:r>
          </w:p>
          <w:p w14:paraId="149C9A8B">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针对医院网络中存在一些非常规类代理进行梳理分析，对使用Regeory Tunnel、HTTP代理、SOCKS代理、Teamview/IRC以及非标准端口等行为进行检测和分析；</w:t>
            </w:r>
          </w:p>
          <w:p w14:paraId="321A15CF">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针对医院网络中存在的登录行为进行梳理分析，发现账号弱口令及各类风险，统计账号风险情况，检测服务项为主动式弱口令探测、暴力破解识别、被动式邮件和Web等弱口令探测、通用默认密码检测；</w:t>
            </w:r>
          </w:p>
          <w:p w14:paraId="41EC0476">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针对医院网络中存在的Web攻击进行梳理分析，分析Web通用弱口令、Webshell、黑产后门扫描、Web漏洞、上传行为、SQL注入攻击、敏感信息泄露、XSS跨站攻击、敏感路径访问、远程代码执行等攻击行为；</w:t>
            </w:r>
          </w:p>
          <w:p w14:paraId="05580EE0">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威胁情报告警分析，威胁情报可对APT攻击、新型木马、特种免杀木马进行规则化描述。从多个维度特征还原出攻击者的全貌，包括程序形态，不同编码风格和不同攻击原理的同源木马程序，恶意服务器（C&amp;C）等，通过全貌特征‘跟踪’攻击者，持续的发现未知威胁。</w:t>
            </w:r>
          </w:p>
          <w:p w14:paraId="27C79D2B">
            <w:pPr>
              <w:numPr>
                <w:ilvl w:val="0"/>
                <w:numId w:val="2"/>
              </w:numPr>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对于医院所有网络终端发生病毒感染、遭受攻击或出现严重漏洞</w:t>
            </w:r>
            <w:r>
              <w:rPr>
                <w:rFonts w:hint="eastAsia" w:ascii="宋体" w:hAnsi="宋体" w:eastAsia="宋体" w:cs="宋体"/>
                <w:sz w:val="24"/>
                <w:szCs w:val="24"/>
                <w:lang w:val="en-US" w:eastAsia="zh-CN"/>
              </w:rPr>
              <w:t>等情况</w:t>
            </w:r>
            <w:r>
              <w:rPr>
                <w:rFonts w:hint="eastAsia" w:ascii="宋体" w:hAnsi="宋体" w:eastAsia="宋体" w:cs="宋体"/>
                <w:sz w:val="24"/>
                <w:szCs w:val="24"/>
              </w:rPr>
              <w:t>，应能立刻响应，及时发出警告并立即</w:t>
            </w:r>
            <w:r>
              <w:rPr>
                <w:rFonts w:hint="eastAsia" w:ascii="宋体" w:hAnsi="宋体" w:eastAsia="宋体" w:cs="宋体"/>
                <w:sz w:val="24"/>
                <w:szCs w:val="24"/>
                <w:lang w:val="en-US" w:eastAsia="zh-CN"/>
              </w:rPr>
              <w:t>自动</w:t>
            </w:r>
            <w:r>
              <w:rPr>
                <w:rFonts w:hint="eastAsia" w:ascii="宋体" w:hAnsi="宋体" w:eastAsia="宋体" w:cs="宋体"/>
                <w:sz w:val="24"/>
                <w:szCs w:val="24"/>
              </w:rPr>
              <w:t>处理。对采购</w:t>
            </w:r>
            <w:r>
              <w:rPr>
                <w:rFonts w:hint="eastAsia" w:ascii="宋体" w:hAnsi="宋体" w:eastAsia="宋体" w:cs="宋体"/>
                <w:sz w:val="24"/>
                <w:szCs w:val="24"/>
                <w:lang w:val="en-US" w:eastAsia="zh-CN"/>
              </w:rPr>
              <w:t>方人员</w:t>
            </w:r>
            <w:r>
              <w:rPr>
                <w:rFonts w:hint="eastAsia" w:ascii="宋体" w:hAnsi="宋体" w:eastAsia="宋体" w:cs="宋体"/>
                <w:sz w:val="24"/>
                <w:szCs w:val="24"/>
              </w:rPr>
              <w:t>不能处理的问题应立刻派出技术人员赶赴现场排除安全隐患，消除安全威胁，协助恢复系统正常运作</w:t>
            </w:r>
            <w:r>
              <w:rPr>
                <w:rFonts w:hint="eastAsia" w:ascii="宋体" w:hAnsi="宋体" w:eastAsia="宋体" w:cs="宋体"/>
                <w:sz w:val="24"/>
                <w:szCs w:val="24"/>
                <w:lang w:eastAsia="zh-CN"/>
              </w:rPr>
              <w:t>，对入侵事件进行分析，查找原因，</w:t>
            </w:r>
            <w:r>
              <w:rPr>
                <w:rFonts w:hint="eastAsia" w:ascii="宋体" w:hAnsi="宋体" w:eastAsia="宋体" w:cs="宋体"/>
                <w:sz w:val="24"/>
                <w:szCs w:val="24"/>
                <w:lang w:val="en-US" w:eastAsia="zh-CN"/>
              </w:rPr>
              <w:t>并提交安全加固建议</w:t>
            </w:r>
            <w:r>
              <w:rPr>
                <w:rFonts w:hint="eastAsia" w:ascii="宋体" w:hAnsi="宋体" w:eastAsia="宋体" w:cs="宋体"/>
                <w:sz w:val="24"/>
                <w:szCs w:val="24"/>
              </w:rPr>
              <w:t>。</w:t>
            </w:r>
          </w:p>
          <w:p w14:paraId="701C2D87">
            <w:pPr>
              <w:numPr>
                <w:ilvl w:val="0"/>
                <w:numId w:val="0"/>
              </w:numPr>
              <w:rPr>
                <w:rFonts w:hint="eastAsia" w:ascii="宋体" w:hAnsi="宋体" w:eastAsia="宋体" w:cs="宋体"/>
                <w:sz w:val="24"/>
                <w:szCs w:val="24"/>
              </w:rPr>
            </w:pPr>
            <w:r>
              <w:rPr>
                <w:rFonts w:hint="eastAsia" w:ascii="宋体" w:hAnsi="宋体" w:eastAsia="宋体" w:cs="宋体"/>
                <w:sz w:val="24"/>
                <w:szCs w:val="24"/>
              </w:rPr>
              <w:t>以上内容分析完成后出具《网络安全态势分析报告》，协助采购人每季通过报告了解网络安全风险和加固处置措施等，便于监控和责任到人的解决问题和预警。</w:t>
            </w:r>
          </w:p>
          <w:p w14:paraId="5C91CA10">
            <w:pPr>
              <w:numPr>
                <w:ilvl w:val="0"/>
                <w:numId w:val="0"/>
              </w:numPr>
              <w:rPr>
                <w:rFonts w:hint="default" w:ascii="宋体" w:hAnsi="宋体" w:eastAsia="宋体" w:cs="宋体"/>
                <w:sz w:val="24"/>
                <w:szCs w:val="24"/>
                <w:lang w:val="en-US" w:eastAsia="zh-CN"/>
              </w:rPr>
            </w:pPr>
            <w:r>
              <w:rPr>
                <w:rFonts w:hint="default" w:ascii="宋体" w:hAnsi="宋体" w:eastAsia="宋体" w:cs="宋体"/>
                <w:sz w:val="24"/>
                <w:szCs w:val="24"/>
                <w:lang w:val="en-US"/>
              </w:rPr>
              <w:t>10</w:t>
            </w:r>
            <w:r>
              <w:rPr>
                <w:rFonts w:hint="eastAsia" w:ascii="宋体" w:hAnsi="宋体" w:eastAsia="宋体" w:cs="宋体"/>
                <w:sz w:val="24"/>
                <w:szCs w:val="24"/>
                <w:lang w:val="en-US" w:eastAsia="zh-CN"/>
              </w:rPr>
              <w:t>、针对医院网络架构变动需求，提供技术支持，并进行线下网络调整调试服务，要求24小时内由原厂人员进行线下调整。</w:t>
            </w:r>
            <w:bookmarkStart w:id="0" w:name="_GoBack"/>
            <w:bookmarkEnd w:id="0"/>
          </w:p>
        </w:tc>
      </w:tr>
      <w:tr w14:paraId="6568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38B3A854">
            <w:pPr>
              <w:rPr>
                <w:rFonts w:ascii="宋体" w:hAnsi="宋体" w:eastAsia="宋体"/>
              </w:rPr>
            </w:pPr>
          </w:p>
        </w:tc>
        <w:tc>
          <w:tcPr>
            <w:tcW w:w="530" w:type="dxa"/>
          </w:tcPr>
          <w:p w14:paraId="343D0F1E">
            <w:pPr>
              <w:jc w:val="center"/>
              <w:rPr>
                <w:rFonts w:hint="eastAsia" w:ascii="宋体" w:hAnsi="宋体" w:eastAsia="宋体"/>
                <w:b/>
                <w:bCs w:val="0"/>
                <w:sz w:val="24"/>
                <w:szCs w:val="24"/>
              </w:rPr>
            </w:pPr>
          </w:p>
          <w:p w14:paraId="056DF515">
            <w:pPr>
              <w:jc w:val="center"/>
              <w:rPr>
                <w:rFonts w:hint="eastAsia" w:ascii="宋体" w:hAnsi="宋体" w:eastAsia="宋体"/>
                <w:b/>
                <w:bCs w:val="0"/>
                <w:sz w:val="24"/>
                <w:szCs w:val="24"/>
              </w:rPr>
            </w:pPr>
          </w:p>
          <w:p w14:paraId="1AFA2AEA">
            <w:pPr>
              <w:jc w:val="center"/>
              <w:rPr>
                <w:rFonts w:hint="eastAsia" w:ascii="宋体" w:hAnsi="宋体" w:eastAsia="宋体"/>
                <w:b/>
                <w:bCs w:val="0"/>
                <w:sz w:val="24"/>
                <w:szCs w:val="24"/>
              </w:rPr>
            </w:pPr>
          </w:p>
          <w:p w14:paraId="0E4A8E5F">
            <w:pPr>
              <w:jc w:val="center"/>
              <w:rPr>
                <w:rFonts w:hint="eastAsia" w:ascii="宋体" w:hAnsi="宋体" w:eastAsia="宋体"/>
                <w:b/>
                <w:bCs w:val="0"/>
                <w:sz w:val="24"/>
                <w:szCs w:val="24"/>
              </w:rPr>
            </w:pPr>
          </w:p>
          <w:p w14:paraId="7BEC616D">
            <w:pPr>
              <w:jc w:val="center"/>
              <w:rPr>
                <w:rFonts w:hint="eastAsia" w:ascii="宋体" w:hAnsi="宋体" w:eastAsia="宋体"/>
                <w:b/>
                <w:bCs w:val="0"/>
                <w:sz w:val="24"/>
                <w:szCs w:val="24"/>
              </w:rPr>
            </w:pPr>
          </w:p>
          <w:p w14:paraId="1715A792">
            <w:pPr>
              <w:jc w:val="center"/>
              <w:rPr>
                <w:rFonts w:hint="eastAsia" w:ascii="宋体" w:hAnsi="宋体" w:eastAsia="宋体"/>
                <w:b/>
                <w:bCs w:val="0"/>
                <w:sz w:val="24"/>
                <w:szCs w:val="24"/>
              </w:rPr>
            </w:pPr>
          </w:p>
          <w:p w14:paraId="5106B329">
            <w:pPr>
              <w:jc w:val="center"/>
              <w:rPr>
                <w:rFonts w:hint="eastAsia" w:ascii="宋体" w:hAnsi="宋体" w:eastAsia="宋体"/>
                <w:b/>
                <w:bCs w:val="0"/>
                <w:sz w:val="24"/>
                <w:szCs w:val="24"/>
              </w:rPr>
            </w:pPr>
          </w:p>
          <w:p w14:paraId="44878E13">
            <w:pPr>
              <w:jc w:val="center"/>
              <w:rPr>
                <w:rFonts w:hint="eastAsia" w:ascii="宋体" w:hAnsi="宋体" w:eastAsia="宋体"/>
                <w:b/>
                <w:bCs w:val="0"/>
                <w:sz w:val="24"/>
                <w:szCs w:val="24"/>
              </w:rPr>
            </w:pPr>
          </w:p>
          <w:p w14:paraId="7EDE6260">
            <w:pPr>
              <w:jc w:val="center"/>
              <w:rPr>
                <w:rFonts w:hint="eastAsia" w:ascii="宋体" w:hAnsi="宋体" w:eastAsia="宋体"/>
                <w:b/>
                <w:bCs w:val="0"/>
                <w:sz w:val="24"/>
                <w:szCs w:val="24"/>
              </w:rPr>
            </w:pPr>
          </w:p>
          <w:p w14:paraId="59FDF636">
            <w:pPr>
              <w:jc w:val="center"/>
              <w:rPr>
                <w:rFonts w:hint="eastAsia" w:ascii="宋体" w:hAnsi="宋体" w:eastAsia="宋体"/>
                <w:b/>
                <w:bCs w:val="0"/>
                <w:sz w:val="24"/>
                <w:szCs w:val="24"/>
              </w:rPr>
            </w:pPr>
          </w:p>
          <w:p w14:paraId="176CD93B">
            <w:pPr>
              <w:jc w:val="center"/>
              <w:rPr>
                <w:rFonts w:hint="eastAsia" w:ascii="宋体" w:hAnsi="宋体" w:eastAsia="宋体"/>
                <w:b/>
                <w:bCs w:val="0"/>
                <w:sz w:val="24"/>
                <w:szCs w:val="24"/>
              </w:rPr>
            </w:pPr>
          </w:p>
          <w:p w14:paraId="2445ED8D">
            <w:pPr>
              <w:jc w:val="center"/>
              <w:rPr>
                <w:rFonts w:hint="eastAsia" w:ascii="宋体" w:hAnsi="宋体" w:eastAsia="宋体"/>
                <w:b/>
                <w:bCs w:val="0"/>
                <w:sz w:val="24"/>
                <w:szCs w:val="24"/>
              </w:rPr>
            </w:pPr>
          </w:p>
          <w:p w14:paraId="6ABB3BF9">
            <w:pPr>
              <w:jc w:val="center"/>
              <w:rPr>
                <w:rFonts w:hint="eastAsia" w:ascii="宋体" w:hAnsi="宋体" w:eastAsia="宋体"/>
                <w:b/>
                <w:bCs w:val="0"/>
                <w:sz w:val="24"/>
                <w:szCs w:val="24"/>
              </w:rPr>
            </w:pPr>
          </w:p>
          <w:p w14:paraId="659E6521">
            <w:pPr>
              <w:jc w:val="center"/>
              <w:rPr>
                <w:rFonts w:hint="eastAsia" w:ascii="宋体" w:hAnsi="宋体" w:eastAsia="宋体"/>
                <w:b/>
                <w:bCs w:val="0"/>
                <w:sz w:val="24"/>
                <w:szCs w:val="24"/>
              </w:rPr>
            </w:pPr>
            <w:r>
              <w:rPr>
                <w:rFonts w:hint="eastAsia" w:ascii="宋体" w:hAnsi="宋体" w:eastAsia="宋体"/>
                <w:b/>
                <w:bCs w:val="0"/>
                <w:sz w:val="24"/>
                <w:szCs w:val="24"/>
              </w:rPr>
              <w:t>工具要求</w:t>
            </w:r>
          </w:p>
        </w:tc>
        <w:tc>
          <w:tcPr>
            <w:tcW w:w="7354" w:type="dxa"/>
            <w:gridSpan w:val="2"/>
          </w:tcPr>
          <w:p w14:paraId="1F36AACD">
            <w:pPr>
              <w:rPr>
                <w:rFonts w:hint="eastAsia" w:ascii="宋体" w:hAnsi="宋体" w:eastAsia="宋体" w:cs="宋体"/>
                <w:sz w:val="24"/>
                <w:szCs w:val="24"/>
              </w:rPr>
            </w:pPr>
            <w:r>
              <w:rPr>
                <w:rFonts w:hint="eastAsia" w:ascii="宋体" w:hAnsi="宋体" w:eastAsia="宋体" w:cs="宋体"/>
                <w:sz w:val="24"/>
                <w:szCs w:val="24"/>
              </w:rPr>
              <w:t>投标</w:t>
            </w:r>
            <w:r>
              <w:rPr>
                <w:rFonts w:hint="eastAsia" w:ascii="宋体" w:hAnsi="宋体" w:eastAsia="宋体" w:cs="宋体"/>
                <w:sz w:val="24"/>
                <w:szCs w:val="24"/>
                <w:lang w:val="en-US" w:eastAsia="zh-CN"/>
              </w:rPr>
              <w:t>供应商</w:t>
            </w:r>
            <w:r>
              <w:rPr>
                <w:rFonts w:hint="eastAsia" w:ascii="宋体" w:hAnsi="宋体" w:eastAsia="宋体" w:cs="宋体"/>
                <w:sz w:val="24"/>
                <w:szCs w:val="24"/>
              </w:rPr>
              <w:t>提供服务工具对医院内网流量及互联网对外服务的关键主机流量进行全面采集和安全分析。下列条款是对工具的要求，必须提供证明材料并加盖厂商公章：</w:t>
            </w:r>
          </w:p>
          <w:p w14:paraId="5804A67A">
            <w:pPr>
              <w:rPr>
                <w:rFonts w:hint="eastAsia" w:ascii="宋体" w:hAnsi="宋体" w:eastAsia="宋体" w:cs="宋体"/>
                <w:sz w:val="24"/>
                <w:szCs w:val="24"/>
              </w:rPr>
            </w:pPr>
            <w:r>
              <w:rPr>
                <w:rFonts w:hint="eastAsia" w:ascii="宋体" w:hAnsi="宋体" w:eastAsia="宋体" w:cs="宋体"/>
                <w:sz w:val="24"/>
                <w:szCs w:val="24"/>
              </w:rPr>
              <w:t>1、支持“操作系统加固”功能，基于操作系统内核加固技术，针对操作系统核心资源，如注册表、网络连接、系统文件、进程等资源进行有效防护。</w:t>
            </w:r>
          </w:p>
          <w:p w14:paraId="1FA1C09D">
            <w:pPr>
              <w:rPr>
                <w:rFonts w:hint="eastAsia" w:ascii="宋体" w:hAnsi="宋体" w:eastAsia="宋体" w:cs="宋体"/>
                <w:sz w:val="24"/>
                <w:szCs w:val="24"/>
              </w:rPr>
            </w:pPr>
            <w:r>
              <w:rPr>
                <w:rFonts w:hint="eastAsia" w:ascii="宋体" w:hAnsi="宋体" w:eastAsia="宋体" w:cs="宋体"/>
                <w:sz w:val="24"/>
                <w:szCs w:val="24"/>
              </w:rPr>
              <w:t>2、堡垒锁可对服务器上的特定文件进行监控和防护。防护模式可锁定对特定文件的写入，监测模式可在对特定文件写入时发出报警，堡垒锁支持配置防护/监测需要的文件类型，支持对特殊路径和进程的加入白名单，保证控制策略的可用性。</w:t>
            </w:r>
          </w:p>
          <w:p w14:paraId="6C6FB685">
            <w:pPr>
              <w:rPr>
                <w:rFonts w:hint="eastAsia" w:ascii="宋体" w:hAnsi="宋体" w:eastAsia="宋体" w:cs="宋体"/>
                <w:color w:val="auto"/>
                <w:sz w:val="24"/>
                <w:szCs w:val="24"/>
              </w:rPr>
            </w:pPr>
            <w:r>
              <w:rPr>
                <w:rFonts w:hint="eastAsia" w:ascii="宋体" w:hAnsi="宋体" w:eastAsia="宋体" w:cs="宋体"/>
                <w:color w:val="auto"/>
                <w:sz w:val="24"/>
                <w:szCs w:val="24"/>
              </w:rPr>
              <w:t>3、支持细粒度的多种资源客体的强制访问控制，允许多种资源主体类型以不同访问权限对多种资源客体设制访问规则。访问控制资源客体包含文件、进程、服务、磁盘、共享文件、通信端口等。</w:t>
            </w:r>
          </w:p>
          <w:p w14:paraId="68F94F8F">
            <w:pPr>
              <w:rPr>
                <w:rFonts w:hint="eastAsia" w:ascii="宋体" w:hAnsi="宋体" w:eastAsia="宋体" w:cs="宋体"/>
                <w:sz w:val="24"/>
                <w:szCs w:val="24"/>
              </w:rPr>
            </w:pPr>
            <w:r>
              <w:rPr>
                <w:rFonts w:hint="eastAsia" w:ascii="宋体" w:hAnsi="宋体" w:eastAsia="宋体" w:cs="宋体"/>
                <w:sz w:val="24"/>
                <w:szCs w:val="24"/>
              </w:rPr>
              <w:t>4、支持基于沙箱的WEBSHELL查杀技术，下一代WEBSHELL检测技术，污点传播理论与沙箱技术，取代传统基于特征码的查杀技术，支持ASP、ASPX、PHP、JSP等常用WEB脚本语言，支持对于加密及变形的WEBSHELL有效查杀。。</w:t>
            </w:r>
          </w:p>
          <w:p w14:paraId="6374A4D9">
            <w:pPr>
              <w:rPr>
                <w:rFonts w:hint="eastAsia" w:ascii="宋体" w:hAnsi="宋体" w:eastAsia="宋体" w:cs="宋体"/>
                <w:sz w:val="24"/>
                <w:szCs w:val="24"/>
              </w:rPr>
            </w:pPr>
            <w:r>
              <w:rPr>
                <w:rFonts w:hint="eastAsia" w:ascii="宋体" w:hAnsi="宋体" w:eastAsia="宋体" w:cs="宋体"/>
                <w:sz w:val="24"/>
                <w:szCs w:val="24"/>
              </w:rPr>
              <w:t>5、支持防护日志功能提供对防护过程中所产生的各类日志的查询，包括：网站防护日志、系统防护日志、登录防护日志及巡检日志。日志中包含具体时间、日志类别及描述等信息，用户可将日志导出，以便保存、查阅。</w:t>
            </w:r>
          </w:p>
          <w:p w14:paraId="1E46878A">
            <w:pPr>
              <w:rPr>
                <w:rFonts w:hint="eastAsia" w:ascii="宋体" w:hAnsi="宋体" w:eastAsia="宋体" w:cs="宋体"/>
                <w:sz w:val="24"/>
                <w:szCs w:val="24"/>
              </w:rPr>
            </w:pPr>
            <w:r>
              <w:rPr>
                <w:rFonts w:hint="eastAsia" w:ascii="宋体" w:hAnsi="宋体" w:eastAsia="宋体" w:cs="宋体"/>
                <w:sz w:val="24"/>
                <w:szCs w:val="24"/>
              </w:rPr>
              <w:t>6、采用实时应用程序自我保护（RASP）技术，实时监测并拦截漏洞攻击。能够在运行时结合上下文采取相应的保护方案。实现对应用及系统的动态监控与防御，大幅度降低误报率。</w:t>
            </w:r>
          </w:p>
          <w:p w14:paraId="3E8D4590">
            <w:pPr>
              <w:rPr>
                <w:rFonts w:hint="eastAsia" w:ascii="宋体" w:hAnsi="宋体" w:eastAsia="宋体" w:cs="宋体"/>
                <w:color w:val="auto"/>
                <w:sz w:val="24"/>
                <w:szCs w:val="24"/>
              </w:rPr>
            </w:pPr>
            <w:r>
              <w:rPr>
                <w:rFonts w:hint="eastAsia" w:ascii="宋体" w:hAnsi="宋体" w:eastAsia="宋体" w:cs="宋体"/>
                <w:sz w:val="24"/>
                <w:szCs w:val="24"/>
              </w:rPr>
              <w:t>7、支持struts2漏洞防护、反序列化漏洞防护、命令执行漏洞防护、任意文</w:t>
            </w:r>
            <w:r>
              <w:rPr>
                <w:rFonts w:hint="eastAsia" w:ascii="宋体" w:hAnsi="宋体" w:eastAsia="宋体" w:cs="宋体"/>
                <w:color w:val="auto"/>
                <w:sz w:val="24"/>
                <w:szCs w:val="24"/>
              </w:rPr>
              <w:t>件读取漏洞防护、未知webshell识别及自动隔离。</w:t>
            </w:r>
          </w:p>
          <w:p w14:paraId="18F0DE2E">
            <w:pPr>
              <w:rPr>
                <w:rFonts w:hint="eastAsia" w:ascii="宋体" w:hAnsi="宋体" w:eastAsia="宋体" w:cs="宋体"/>
                <w:color w:val="auto"/>
                <w:sz w:val="24"/>
                <w:szCs w:val="24"/>
              </w:rPr>
            </w:pPr>
            <w:r>
              <w:rPr>
                <w:rFonts w:hint="eastAsia" w:ascii="宋体" w:hAnsi="宋体" w:eastAsia="宋体" w:cs="宋体"/>
                <w:color w:val="auto"/>
                <w:sz w:val="24"/>
                <w:szCs w:val="24"/>
              </w:rPr>
              <w:t>8、支持端口控制级别的细颗粒度主机访问隔离控制。</w:t>
            </w:r>
          </w:p>
          <w:p w14:paraId="35BBA954">
            <w:pPr>
              <w:rPr>
                <w:rFonts w:hint="eastAsia" w:ascii="宋体" w:hAnsi="宋体" w:eastAsia="宋体" w:cs="宋体"/>
                <w:sz w:val="24"/>
                <w:szCs w:val="24"/>
              </w:rPr>
            </w:pPr>
            <w:r>
              <w:rPr>
                <w:rFonts w:hint="eastAsia" w:ascii="宋体" w:hAnsi="宋体" w:eastAsia="宋体" w:cs="宋体"/>
                <w:sz w:val="24"/>
                <w:szCs w:val="24"/>
              </w:rPr>
              <w:t>9、支持自动识别扫描器行为，拦截非法扫描行为。</w:t>
            </w:r>
          </w:p>
          <w:p w14:paraId="05044805">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、指纹识别：系统预置一批指纹识别规则，包括视频监控、交换机、路由器、网络安全产品、服务器设备、企业应用软件、Web组件等。</w:t>
            </w:r>
          </w:p>
          <w:p w14:paraId="4AB5E15B">
            <w:pP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、资产变化历史：支持分析资产属性变化，包括端口、组件、协议、漏洞、管理信息（负责人、机房、管理单元、地理位置等）。</w:t>
            </w:r>
          </w:p>
        </w:tc>
      </w:tr>
      <w:tr w14:paraId="57CA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gridSpan w:val="2"/>
            <w:vAlign w:val="center"/>
          </w:tcPr>
          <w:p w14:paraId="538E08D9">
            <w:pPr>
              <w:rPr>
                <w:rFonts w:hint="eastAsia" w:ascii="宋体" w:hAnsi="宋体" w:eastAsia="宋体"/>
                <w:b/>
                <w:bCs/>
                <w:sz w:val="36"/>
                <w:szCs w:val="36"/>
                <w:lang w:val="en-US" w:eastAsia="zh-CN"/>
              </w:rPr>
            </w:pPr>
            <w:r>
              <w:rPr>
                <w:rFonts w:hint="eastAsia" w:ascii="宋体" w:hAnsi="宋体" w:eastAsia="宋体"/>
                <w:b/>
                <w:bCs/>
                <w:sz w:val="36"/>
                <w:szCs w:val="36"/>
                <w:lang w:val="en-US" w:eastAsia="zh-CN"/>
              </w:rPr>
              <w:t>三、</w:t>
            </w:r>
          </w:p>
          <w:p w14:paraId="5BCA7346">
            <w:pPr>
              <w:rPr>
                <w:rFonts w:hint="eastAsia" w:ascii="宋体" w:hAnsi="宋体" w:eastAsia="宋体" w:cs="宋体"/>
                <w:b/>
                <w:bCs/>
                <w:snapToGrid w:val="0"/>
                <w:color w:val="000000"/>
                <w:kern w:val="2"/>
                <w:sz w:val="36"/>
                <w:szCs w:val="36"/>
                <w:lang w:val="en-US" w:eastAsia="zh-CN" w:bidi="ar-SA"/>
              </w:rPr>
            </w:pPr>
            <w:r>
              <w:rPr>
                <w:rFonts w:hint="eastAsia" w:ascii="宋体" w:hAnsi="宋体" w:eastAsia="宋体"/>
                <w:b/>
                <w:bCs/>
                <w:sz w:val="36"/>
                <w:szCs w:val="36"/>
                <w:lang w:val="en-US" w:eastAsia="zh-CN"/>
              </w:rPr>
              <w:t>安全培训服务</w:t>
            </w:r>
          </w:p>
        </w:tc>
        <w:tc>
          <w:tcPr>
            <w:tcW w:w="7354" w:type="dxa"/>
            <w:gridSpan w:val="2"/>
            <w:vAlign w:val="top"/>
          </w:tcPr>
          <w:p w14:paraId="551B1A3E">
            <w:pPr>
              <w:rPr>
                <w:rFonts w:hint="eastAsia" w:ascii="宋体" w:hAnsi="宋体" w:eastAsia="宋体" w:cs="宋体"/>
                <w:b/>
                <w:bCs/>
                <w:snapToGrid w:val="0"/>
                <w:color w:val="000000"/>
                <w:kern w:val="2"/>
                <w:sz w:val="24"/>
                <w:szCs w:val="24"/>
                <w:lang w:val="en-US" w:eastAsia="zh-CN" w:bidi="ar-SA"/>
              </w:rPr>
            </w:pPr>
            <w:r>
              <w:rPr>
                <w:rFonts w:hint="eastAsia" w:ascii="宋体" w:hAnsi="宋体" w:eastAsia="宋体" w:cs="宋体"/>
                <w:snapToGrid w:val="0"/>
                <w:color w:val="000000"/>
                <w:sz w:val="24"/>
                <w:szCs w:val="24"/>
              </w:rPr>
              <w:t>为提升采购人整体人员的网络安全意识以及相应人员的安全技术水平，需提供安全培训服务，每</w:t>
            </w:r>
            <w:r>
              <w:rPr>
                <w:rFonts w:hint="eastAsia" w:ascii="宋体" w:hAnsi="宋体" w:eastAsia="宋体" w:cs="宋体"/>
                <w:snapToGrid w:val="0"/>
                <w:color w:val="000000"/>
                <w:sz w:val="24"/>
                <w:szCs w:val="24"/>
                <w:lang w:val="en-US" w:eastAsia="zh-CN"/>
              </w:rPr>
              <w:t>月</w:t>
            </w:r>
            <w:r>
              <w:rPr>
                <w:rFonts w:hint="eastAsia" w:ascii="宋体" w:hAnsi="宋体" w:eastAsia="宋体" w:cs="宋体"/>
                <w:snapToGrid w:val="0"/>
                <w:color w:val="000000"/>
                <w:sz w:val="24"/>
                <w:szCs w:val="24"/>
              </w:rPr>
              <w:t>一次，由资深网络安全培训专家提供现场网络安全培训课程，采购人可根据自身安全培训需求选择培训主题，如安全技术培训、安全管理培训及安全认证培训，服务结束后输出《培训PPT》等材料。</w:t>
            </w:r>
          </w:p>
        </w:tc>
      </w:tr>
      <w:tr w14:paraId="2F5A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gridSpan w:val="2"/>
            <w:vAlign w:val="center"/>
          </w:tcPr>
          <w:p w14:paraId="06A60996">
            <w:pPr>
              <w:rPr>
                <w:rFonts w:hint="eastAsia" w:asciiTheme="minorEastAsia" w:hAnsiTheme="minorEastAsia" w:eastAsiaTheme="minorEastAsia"/>
                <w:b/>
                <w:bCs/>
                <w:snapToGrid w:val="0"/>
                <w:color w:val="000000"/>
                <w:sz w:val="36"/>
                <w:szCs w:val="36"/>
                <w:lang w:val="en-US" w:eastAsia="zh-CN"/>
              </w:rPr>
            </w:pPr>
            <w:r>
              <w:rPr>
                <w:rFonts w:hint="eastAsia" w:ascii="宋体" w:hAnsi="宋体" w:eastAsia="宋体"/>
                <w:b/>
                <w:bCs/>
                <w:sz w:val="36"/>
                <w:szCs w:val="36"/>
              </w:rPr>
              <w:t>服务能力要求</w:t>
            </w:r>
          </w:p>
        </w:tc>
        <w:tc>
          <w:tcPr>
            <w:tcW w:w="7354" w:type="dxa"/>
            <w:gridSpan w:val="2"/>
          </w:tcPr>
          <w:p w14:paraId="182CB727">
            <w:pPr>
              <w:rPr>
                <w:rFonts w:hint="eastAsia" w:ascii="宋体" w:hAnsi="宋体" w:eastAsia="宋体" w:cs="宋体"/>
                <w:sz w:val="24"/>
                <w:szCs w:val="24"/>
              </w:rPr>
            </w:pPr>
            <w:r>
              <w:rPr>
                <w:rFonts w:hint="eastAsia" w:ascii="宋体" w:hAnsi="宋体" w:eastAsia="宋体" w:cs="宋体"/>
                <w:sz w:val="24"/>
                <w:szCs w:val="24"/>
              </w:rPr>
              <w:t>为了保证安全服务工作顺利进行，需要中标供应商具备以下资质：</w:t>
            </w:r>
          </w:p>
          <w:p w14:paraId="59F30DF3">
            <w:pPr>
              <w:rPr>
                <w:rFonts w:hint="eastAsia" w:ascii="宋体" w:hAnsi="宋体" w:eastAsia="宋体" w:cs="宋体"/>
                <w:sz w:val="24"/>
                <w:szCs w:val="24"/>
              </w:rPr>
            </w:pPr>
            <w:r>
              <w:rPr>
                <w:rFonts w:hint="eastAsia" w:ascii="宋体" w:hAnsi="宋体" w:eastAsia="宋体" w:cs="宋体"/>
                <w:sz w:val="24"/>
                <w:szCs w:val="24"/>
              </w:rPr>
              <w:t>1、要求本项目安全服务所需的服务工具提供服务工具制造商针对本项目的授权书。</w:t>
            </w:r>
          </w:p>
          <w:p w14:paraId="5B76BB26">
            <w:pPr>
              <w:rPr>
                <w:rFonts w:hint="eastAsia" w:ascii="宋体" w:hAnsi="宋体" w:eastAsia="宋体" w:cs="宋体"/>
                <w:sz w:val="24"/>
                <w:szCs w:val="24"/>
              </w:rPr>
            </w:pPr>
            <w:r>
              <w:rPr>
                <w:rFonts w:hint="default" w:ascii="宋体" w:hAnsi="宋体" w:eastAsia="宋体" w:cs="宋体"/>
                <w:sz w:val="24"/>
                <w:szCs w:val="24"/>
                <w:lang w:val="en-US"/>
              </w:rPr>
              <w:t>2</w:t>
            </w:r>
            <w:r>
              <w:rPr>
                <w:rFonts w:hint="eastAsia" w:ascii="宋体" w:hAnsi="宋体" w:eastAsia="宋体" w:cs="宋体"/>
                <w:sz w:val="24"/>
                <w:szCs w:val="24"/>
              </w:rPr>
              <w:t>、报价供应商为本项目配置的测评师团队，须具有三名及以上高级测评师，两名及以上中级测评师，两名初级测评师。（须提供网络安全等级保护网查询截图）；</w:t>
            </w:r>
          </w:p>
          <w:p w14:paraId="6B40815A">
            <w:pPr>
              <w:rPr>
                <w:rFonts w:hint="eastAsia" w:ascii="宋体" w:hAnsi="宋体" w:eastAsia="宋体" w:cs="宋体"/>
                <w:sz w:val="24"/>
                <w:szCs w:val="24"/>
              </w:rPr>
            </w:pPr>
            <w:r>
              <w:rPr>
                <w:rFonts w:hint="eastAsia" w:ascii="宋体" w:hAnsi="宋体" w:eastAsia="宋体" w:cs="宋体"/>
                <w:sz w:val="24"/>
                <w:szCs w:val="24"/>
              </w:rPr>
              <w:t>1）为本项目配备的项目经理（高级测评师）具有丰富的项目管理经验、软件测试经验及数据安全测试经验，须具备人力资源和社会保障厅颁发的高级信息系统项目管理师证书、中国软件评测中心颁发得软件测试工程师高级证书及数据安全能力成熟度模型（DSMM）测评师证书。</w:t>
            </w:r>
          </w:p>
          <w:p w14:paraId="049D2CAF">
            <w:pPr>
              <w:rPr>
                <w:rFonts w:hint="eastAsia" w:ascii="宋体" w:hAnsi="宋体" w:eastAsia="宋体" w:cs="宋体"/>
                <w:snapToGrid w:val="0"/>
                <w:color w:val="000000"/>
                <w:sz w:val="24"/>
                <w:szCs w:val="24"/>
              </w:rPr>
            </w:pPr>
            <w:r>
              <w:rPr>
                <w:rFonts w:hint="eastAsia" w:ascii="宋体" w:hAnsi="宋体" w:eastAsia="宋体" w:cs="宋体"/>
                <w:sz w:val="24"/>
                <w:szCs w:val="24"/>
              </w:rPr>
              <w:t>2）为本项目配备的</w:t>
            </w:r>
            <w:r>
              <w:rPr>
                <w:rFonts w:hint="eastAsia" w:ascii="宋体" w:hAnsi="宋体" w:eastAsia="宋体" w:cs="宋体"/>
                <w:snapToGrid w:val="0"/>
                <w:color w:val="000000"/>
                <w:sz w:val="24"/>
                <w:szCs w:val="24"/>
              </w:rPr>
              <w:t>中级测评师至少1人须同时具备中国网络安全审查技术与认证中心颁发的信息安全保障人员（CISAW风险管理类专业级）认证证书、中国信息安全测评中心颁发的信息安全专业人员（CISP）认证证书以及项目管理专业人员（PMP）认证证书。</w:t>
            </w:r>
          </w:p>
          <w:p w14:paraId="715CF2E9">
            <w:pPr>
              <w:rPr>
                <w:rFonts w:hint="eastAsia" w:ascii="宋体" w:hAnsi="宋体" w:eastAsia="宋体" w:cs="宋体"/>
                <w:snapToGrid w:val="0"/>
                <w:color w:val="000000"/>
                <w:sz w:val="24"/>
                <w:szCs w:val="24"/>
                <w:lang w:val="en-US" w:eastAsia="zh-CN"/>
              </w:rPr>
            </w:pPr>
            <w:r>
              <w:rPr>
                <w:rFonts w:hint="default" w:ascii="宋体" w:hAnsi="宋体" w:eastAsia="宋体" w:cs="宋体"/>
                <w:snapToGrid w:val="0"/>
                <w:color w:val="000000"/>
                <w:sz w:val="24"/>
                <w:szCs w:val="24"/>
                <w:lang w:val="en-US" w:eastAsia="zh-CN"/>
              </w:rPr>
              <w:t>3</w:t>
            </w:r>
            <w:r>
              <w:rPr>
                <w:rFonts w:hint="eastAsia" w:ascii="宋体" w:hAnsi="宋体" w:eastAsia="宋体" w:cs="宋体"/>
                <w:snapToGrid w:val="0"/>
                <w:color w:val="000000"/>
                <w:sz w:val="24"/>
                <w:szCs w:val="24"/>
                <w:lang w:val="en-US" w:eastAsia="zh-CN"/>
              </w:rPr>
              <w:t>、投标供应商为本项目配置的安全服务人员至少1人须具备中国信息安全测评中心颁发的信息安全专业人员（CISP）认证证书。</w:t>
            </w:r>
          </w:p>
          <w:p w14:paraId="435C4BAD">
            <w:pPr>
              <w:rPr>
                <w:rFonts w:hint="eastAsia" w:ascii="宋体" w:hAnsi="宋体" w:eastAsia="宋体" w:cs="宋体"/>
                <w:snapToGrid w:val="0"/>
                <w:color w:val="000000"/>
                <w:sz w:val="24"/>
                <w:szCs w:val="24"/>
                <w:lang w:val="en-US" w:eastAsia="zh-CN"/>
              </w:rPr>
            </w:pPr>
            <w:r>
              <w:rPr>
                <w:rFonts w:hint="default" w:ascii="宋体" w:hAnsi="宋体" w:eastAsia="宋体" w:cs="宋体"/>
                <w:snapToGrid w:val="0"/>
                <w:color w:val="000000"/>
                <w:sz w:val="24"/>
                <w:szCs w:val="24"/>
                <w:lang w:val="en-US" w:eastAsia="zh-CN"/>
              </w:rPr>
              <w:t>4</w:t>
            </w:r>
            <w:r>
              <w:rPr>
                <w:rFonts w:hint="eastAsia" w:ascii="宋体" w:hAnsi="宋体" w:eastAsia="宋体" w:cs="宋体"/>
                <w:snapToGrid w:val="0"/>
                <w:color w:val="000000"/>
                <w:sz w:val="24"/>
                <w:szCs w:val="24"/>
                <w:lang w:val="en-US" w:eastAsia="zh-CN"/>
              </w:rPr>
              <w:t>、以上人员必须为投标供应商的在职员工，需提供人员缴纳社会保险证明。</w:t>
            </w:r>
          </w:p>
          <w:p w14:paraId="1A9B0D6E">
            <w:pPr>
              <w:rPr>
                <w:rFonts w:hint="eastAsia" w:ascii="宋体" w:hAnsi="宋体" w:eastAsia="宋体" w:cs="宋体"/>
                <w:b w:val="0"/>
                <w:bCs w:val="0"/>
                <w:snapToGrid w:val="0"/>
                <w:color w:val="000000"/>
                <w:sz w:val="24"/>
                <w:szCs w:val="24"/>
                <w:lang w:val="en-US" w:eastAsia="zh-CN"/>
              </w:rPr>
            </w:pPr>
            <w:r>
              <w:rPr>
                <w:rFonts w:hint="default" w:ascii="宋体" w:hAnsi="宋体" w:eastAsia="宋体" w:cs="宋体"/>
                <w:b w:val="0"/>
                <w:bCs w:val="0"/>
                <w:snapToGrid w:val="0"/>
                <w:color w:val="000000"/>
                <w:sz w:val="24"/>
                <w:szCs w:val="24"/>
                <w:lang w:val="en-US" w:eastAsia="zh-CN"/>
              </w:rPr>
              <w:t>5</w:t>
            </w:r>
            <w:r>
              <w:rPr>
                <w:rFonts w:hint="eastAsia" w:ascii="宋体" w:hAnsi="宋体" w:eastAsia="宋体" w:cs="宋体"/>
                <w:b w:val="0"/>
                <w:bCs w:val="0"/>
                <w:snapToGrid w:val="0"/>
                <w:color w:val="000000"/>
                <w:sz w:val="24"/>
                <w:szCs w:val="24"/>
                <w:lang w:val="en-US" w:eastAsia="zh-CN"/>
              </w:rPr>
              <w:t>、投标供应商的安全服务人员现场服务时需由医院使用的网络安全设备厂商（奇安信、新华三、深信服、网御等）原厂技术人员现场配合进行。</w:t>
            </w:r>
          </w:p>
          <w:p w14:paraId="329995B7">
            <w:pPr>
              <w:rPr>
                <w:rFonts w:hint="eastAsia" w:ascii="宋体" w:hAnsi="宋体" w:eastAsia="宋体" w:cs="宋体"/>
                <w:b/>
                <w:bCs/>
                <w:snapToGrid w:val="0"/>
                <w:color w:val="000000"/>
                <w:sz w:val="24"/>
                <w:szCs w:val="24"/>
                <w:lang w:val="en-US" w:eastAsia="zh-CN"/>
              </w:rPr>
            </w:pPr>
            <w:r>
              <w:rPr>
                <w:rFonts w:hint="default" w:ascii="宋体" w:hAnsi="宋体" w:eastAsia="宋体" w:cs="宋体"/>
                <w:b w:val="0"/>
                <w:bCs w:val="0"/>
                <w:snapToGrid w:val="0"/>
                <w:color w:val="000000"/>
                <w:sz w:val="24"/>
                <w:szCs w:val="24"/>
                <w:lang w:val="en-US" w:eastAsia="zh-CN"/>
              </w:rPr>
              <w:t>6</w:t>
            </w:r>
            <w:r>
              <w:rPr>
                <w:rFonts w:hint="eastAsia" w:ascii="宋体" w:hAnsi="宋体" w:eastAsia="宋体" w:cs="宋体"/>
                <w:b w:val="0"/>
                <w:bCs w:val="0"/>
                <w:snapToGrid w:val="0"/>
                <w:color w:val="000000"/>
                <w:sz w:val="24"/>
                <w:szCs w:val="24"/>
                <w:lang w:val="en-US" w:eastAsia="zh-CN"/>
              </w:rPr>
              <w:t>、竞价结束后中标供应商须将所列的资质、人员证书（复印件加盖公章）提交给采购人现场勘验核实。</w:t>
            </w:r>
          </w:p>
        </w:tc>
      </w:tr>
    </w:tbl>
    <w:p w14:paraId="608C2D85">
      <w:pPr>
        <w:rPr>
          <w:rFonts w:ascii="宋体" w:hAnsi="宋体" w:eastAsia="宋体"/>
        </w:rPr>
      </w:pPr>
    </w:p>
    <w:p w14:paraId="3F8B0595">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B2C26"/>
    <w:multiLevelType w:val="multilevel"/>
    <w:tmpl w:val="35EB2C26"/>
    <w:lvl w:ilvl="0" w:tentative="0">
      <w:start w:val="1"/>
      <w:numFmt w:val="bullet"/>
      <w:suff w:val="space"/>
      <w:lvlText w:val=""/>
      <w:lvlJc w:val="left"/>
      <w:pPr>
        <w:ind w:left="-415" w:hanging="425"/>
      </w:pPr>
      <w:rPr>
        <w:rFonts w:hint="default" w:ascii="Wingdings" w:hAnsi="Wingdings"/>
      </w:rPr>
    </w:lvl>
    <w:lvl w:ilvl="1" w:tentative="0">
      <w:start w:val="1"/>
      <w:numFmt w:val="decimal"/>
      <w:lvlText w:val="%1.%2."/>
      <w:lvlJc w:val="left"/>
      <w:pPr>
        <w:tabs>
          <w:tab w:val="left" w:pos="-840"/>
        </w:tabs>
        <w:ind w:left="-273" w:hanging="567"/>
      </w:pPr>
      <w:rPr>
        <w:rFonts w:hint="eastAsia"/>
      </w:rPr>
    </w:lvl>
    <w:lvl w:ilvl="2" w:tentative="0">
      <w:start w:val="1"/>
      <w:numFmt w:val="decimal"/>
      <w:lvlText w:val="%1.%2.%3."/>
      <w:lvlJc w:val="left"/>
      <w:pPr>
        <w:tabs>
          <w:tab w:val="left" w:pos="-840"/>
        </w:tabs>
        <w:ind w:left="-131" w:hanging="709"/>
      </w:pPr>
      <w:rPr>
        <w:rFonts w:hint="eastAsia"/>
      </w:rPr>
    </w:lvl>
    <w:lvl w:ilvl="3" w:tentative="0">
      <w:start w:val="1"/>
      <w:numFmt w:val="decimal"/>
      <w:lvlText w:val="%1.%2.%3.%4."/>
      <w:lvlJc w:val="left"/>
      <w:pPr>
        <w:tabs>
          <w:tab w:val="left" w:pos="-840"/>
        </w:tabs>
        <w:ind w:left="11" w:hanging="851"/>
      </w:pPr>
      <w:rPr>
        <w:rFonts w:hint="eastAsia"/>
      </w:rPr>
    </w:lvl>
    <w:lvl w:ilvl="4" w:tentative="0">
      <w:start w:val="1"/>
      <w:numFmt w:val="decimal"/>
      <w:lvlText w:val="%1.%2.%3.%4.%5."/>
      <w:lvlJc w:val="left"/>
      <w:pPr>
        <w:tabs>
          <w:tab w:val="left" w:pos="-840"/>
        </w:tabs>
        <w:ind w:left="152" w:hanging="992"/>
      </w:pPr>
      <w:rPr>
        <w:rFonts w:hint="eastAsia"/>
      </w:rPr>
    </w:lvl>
    <w:lvl w:ilvl="5" w:tentative="0">
      <w:start w:val="1"/>
      <w:numFmt w:val="decimal"/>
      <w:lvlText w:val="%1.%2.%3.%4.%5.%6."/>
      <w:lvlJc w:val="left"/>
      <w:pPr>
        <w:tabs>
          <w:tab w:val="left" w:pos="-840"/>
        </w:tabs>
        <w:ind w:left="294" w:hanging="1134"/>
      </w:pPr>
      <w:rPr>
        <w:rFonts w:hint="eastAsia"/>
      </w:rPr>
    </w:lvl>
    <w:lvl w:ilvl="6" w:tentative="0">
      <w:start w:val="1"/>
      <w:numFmt w:val="decimal"/>
      <w:lvlText w:val="%1.%2.%3.%4.%5.%6.%7."/>
      <w:lvlJc w:val="left"/>
      <w:pPr>
        <w:tabs>
          <w:tab w:val="left" w:pos="-840"/>
        </w:tabs>
        <w:ind w:left="436" w:hanging="1276"/>
      </w:pPr>
      <w:rPr>
        <w:rFonts w:hint="eastAsia"/>
      </w:rPr>
    </w:lvl>
    <w:lvl w:ilvl="7" w:tentative="0">
      <w:start w:val="1"/>
      <w:numFmt w:val="decimal"/>
      <w:lvlText w:val="%1.%2.%3.%4.%5.%6.%7.%8."/>
      <w:lvlJc w:val="left"/>
      <w:pPr>
        <w:tabs>
          <w:tab w:val="left" w:pos="-840"/>
        </w:tabs>
        <w:ind w:left="578" w:hanging="1418"/>
      </w:pPr>
      <w:rPr>
        <w:rFonts w:hint="eastAsia"/>
      </w:rPr>
    </w:lvl>
    <w:lvl w:ilvl="8" w:tentative="0">
      <w:start w:val="1"/>
      <w:numFmt w:val="decimal"/>
      <w:lvlText w:val="%1.%2.%3.%4.%5.%6.%7.%8.%9."/>
      <w:lvlJc w:val="left"/>
      <w:pPr>
        <w:tabs>
          <w:tab w:val="left" w:pos="-840"/>
        </w:tabs>
        <w:ind w:left="719" w:hanging="1559"/>
      </w:pPr>
      <w:rPr>
        <w:rFonts w:hint="eastAsia"/>
      </w:rPr>
    </w:lvl>
  </w:abstractNum>
  <w:abstractNum w:abstractNumId="1">
    <w:nsid w:val="4B6AA6D9"/>
    <w:multiLevelType w:val="singleLevel"/>
    <w:tmpl w:val="4B6AA6D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lOWJiNTNiYWMyZWE0MzM1MGYzMjhkNzc2NjE5NDgifQ=="/>
  </w:docVars>
  <w:rsids>
    <w:rsidRoot w:val="00DB427D"/>
    <w:rsid w:val="000F5071"/>
    <w:rsid w:val="00185DFF"/>
    <w:rsid w:val="00796769"/>
    <w:rsid w:val="008E0434"/>
    <w:rsid w:val="009C2710"/>
    <w:rsid w:val="00B8765E"/>
    <w:rsid w:val="00C06342"/>
    <w:rsid w:val="00D93480"/>
    <w:rsid w:val="00DB427D"/>
    <w:rsid w:val="00DF5AED"/>
    <w:rsid w:val="00F84737"/>
    <w:rsid w:val="02233AC0"/>
    <w:rsid w:val="13180760"/>
    <w:rsid w:val="1850056E"/>
    <w:rsid w:val="19D05965"/>
    <w:rsid w:val="22F46749"/>
    <w:rsid w:val="26225F17"/>
    <w:rsid w:val="2769781A"/>
    <w:rsid w:val="2BCC7056"/>
    <w:rsid w:val="2DA956A3"/>
    <w:rsid w:val="2F250CFC"/>
    <w:rsid w:val="340B3FD1"/>
    <w:rsid w:val="38FB3587"/>
    <w:rsid w:val="47E6537B"/>
    <w:rsid w:val="4DD0009F"/>
    <w:rsid w:val="5FDD706A"/>
    <w:rsid w:val="606F7C24"/>
    <w:rsid w:val="6662302F"/>
    <w:rsid w:val="7DFD6D77"/>
    <w:rsid w:val="7EB56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kern w:val="2"/>
      <w:sz w:val="18"/>
      <w:szCs w:val="18"/>
    </w:rPr>
  </w:style>
  <w:style w:type="character" w:customStyle="1" w:styleId="8">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5821</Words>
  <Characters>6152</Characters>
  <Lines>17</Lines>
  <Paragraphs>4</Paragraphs>
  <TotalTime>5</TotalTime>
  <ScaleCrop>false</ScaleCrop>
  <LinksUpToDate>false</LinksUpToDate>
  <CharactersWithSpaces>6180</CharactersWithSpaces>
  <Application>WPS Office_12.1.0.20288_F1E327BC-269C-435d-A152-05C5408002CA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2023-01-13T01:41:00Z</dcterms:created>
  <dc:creator>王 凌祥</dc:creator>
  <cp:lastModifiedBy>Arsthousl</cp:lastModifiedBy>
  <dcterms:modified xsi:type="dcterms:W3CDTF">2025-03-05T00:35:07Z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2052-12.1.0.20288</vt:lpwstr>
  </property>
  <property fmtid="{D5CDD505-2E9C-101B-9397-08002B2CF9AE}" pid="3" name="ICV">
    <vt:lpwstr>FF346E55FFE04F90BD3408DBE4269F1B_13</vt:lpwstr>
  </property>
  <property fmtid="{D5CDD505-2E9C-101B-9397-08002B2CF9AE}" pid="4" name="KSOTemplateDocerSaveRecord">
    <vt:lpwstr>eyJoZGlkIjoiZjBjNmI5ZTQ4NTJjZGE1ODBlNWFmNTU0YTgyNDcxNzEiLCJ1c2VySWQiOiIyOTkxNjIzNzMifQ==</vt:lpwstr>
  </property>
</Properties>
</file>