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5AF67">
      <w:pPr>
        <w:pStyle w:val="2"/>
        <w:jc w:val="left"/>
      </w:pPr>
      <w:r>
        <w:rPr>
          <w:rFonts w:hint="eastAsia"/>
        </w:rPr>
        <w:t>附件：</w:t>
      </w:r>
    </w:p>
    <w:p w14:paraId="37C8B481">
      <w:pPr>
        <w:pStyle w:val="2"/>
        <w:jc w:val="center"/>
      </w:pPr>
      <w:r>
        <w:rPr>
          <w:rFonts w:hint="eastAsia"/>
        </w:rPr>
        <w:t>驻马店技师学院信息系统安全技术服务项目采购需求</w:t>
      </w:r>
    </w:p>
    <w:p w14:paraId="62E1D5FB">
      <w:pPr>
        <w:widowControl/>
        <w:spacing w:line="360" w:lineRule="exact"/>
        <w:rPr>
          <w:rFonts w:ascii="宋体" w:hAnsi="宋体" w:eastAsia="宋体" w:cs="宋体"/>
          <w:b/>
          <w:kern w:val="0"/>
          <w:sz w:val="24"/>
          <w:szCs w:val="24"/>
        </w:rPr>
      </w:pPr>
      <w:r>
        <w:rPr>
          <w:rFonts w:hint="eastAsia" w:ascii="宋体" w:hAnsi="宋体" w:eastAsia="宋体" w:cs="宋体"/>
          <w:b/>
          <w:kern w:val="0"/>
          <w:sz w:val="24"/>
          <w:szCs w:val="24"/>
        </w:rPr>
        <w:t>一、供应商要求</w:t>
      </w:r>
    </w:p>
    <w:p w14:paraId="40BB8739">
      <w:pPr>
        <w:widowControl/>
        <w:spacing w:line="360" w:lineRule="exact"/>
        <w:ind w:firstLine="480" w:firstLineChars="200"/>
        <w:jc w:val="left"/>
        <w:rPr>
          <w:rFonts w:ascii="宋体" w:hAnsi="宋体" w:eastAsia="宋体" w:cs="宋体"/>
          <w:kern w:val="0"/>
          <w:sz w:val="24"/>
          <w:szCs w:val="24"/>
        </w:rPr>
      </w:pPr>
      <w:bookmarkStart w:id="0" w:name="OLE_LINK1"/>
      <w:r>
        <w:rPr>
          <w:rFonts w:hint="eastAsia" w:ascii="宋体" w:hAnsi="宋体" w:eastAsia="宋体" w:cs="宋体"/>
          <w:kern w:val="0"/>
          <w:sz w:val="24"/>
          <w:szCs w:val="24"/>
        </w:rPr>
        <w:t>1、具备《中华人民共和国政府采购法》第二十二条规定的条件：</w:t>
      </w:r>
    </w:p>
    <w:p w14:paraId="498AF5D1">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（一）具有独立承担民事责任的能力；</w:t>
      </w:r>
    </w:p>
    <w:p w14:paraId="245EC6E3">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（二）具有良好的商业信誉和健全的财务会计制度；</w:t>
      </w:r>
    </w:p>
    <w:p w14:paraId="36BE0712">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（三）具有履行合同所必需的设备和专业技术能力；</w:t>
      </w:r>
    </w:p>
    <w:p w14:paraId="3D9129C3">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（四）参加政府采购活动前三年内，在经营活动中没有重大违法记录；</w:t>
      </w:r>
    </w:p>
    <w:p w14:paraId="196653C1">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（五）</w:t>
      </w:r>
      <w:r>
        <w:rPr>
          <w:rFonts w:hint="eastAsia" w:ascii="宋体" w:hAnsi="宋体" w:eastAsia="宋体" w:cs="宋体"/>
          <w:bCs/>
          <w:sz w:val="24"/>
          <w:szCs w:val="24"/>
        </w:rPr>
        <w:t>在“信用中国”网站(www.creditchina.gov.cn)中被列入失信被执行人、重大税收违法案件当事人名单、政府采购严重违法失信行为记录名单</w:t>
      </w:r>
      <w:r>
        <w:rPr>
          <w:rFonts w:hint="eastAsia" w:ascii="宋体" w:hAnsi="宋体" w:eastAsia="宋体" w:cs="宋体"/>
          <w:kern w:val="0"/>
          <w:sz w:val="24"/>
          <w:szCs w:val="24"/>
        </w:rPr>
        <w:t>，拒绝其参与本招标项目；</w:t>
      </w:r>
    </w:p>
    <w:p w14:paraId="686AC539">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（六）本项目不接受联合体投标。</w:t>
      </w:r>
      <w:bookmarkEnd w:id="0"/>
    </w:p>
    <w:p w14:paraId="02C31AC7">
      <w:pPr>
        <w:widowControl/>
        <w:spacing w:line="360" w:lineRule="exact"/>
        <w:jc w:val="left"/>
        <w:rPr>
          <w:rFonts w:ascii="宋体" w:hAnsi="宋体" w:eastAsia="宋体" w:cs="宋体"/>
          <w:sz w:val="24"/>
          <w:szCs w:val="24"/>
        </w:rPr>
      </w:pPr>
      <w:r>
        <w:rPr>
          <w:rFonts w:hint="eastAsia" w:ascii="宋体" w:hAnsi="宋体" w:eastAsia="宋体" w:cs="宋体"/>
          <w:b/>
          <w:kern w:val="0"/>
          <w:sz w:val="24"/>
          <w:szCs w:val="24"/>
        </w:rPr>
        <w:t>二、项目服务要求</w:t>
      </w:r>
    </w:p>
    <w:tbl>
      <w:tblPr>
        <w:tblStyle w:val="11"/>
        <w:tblpPr w:leftFromText="180" w:rightFromText="180" w:vertAnchor="text" w:horzAnchor="page" w:tblpX="1862" w:tblpY="10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784"/>
        <w:gridCol w:w="5740"/>
        <w:gridCol w:w="660"/>
        <w:gridCol w:w="706"/>
      </w:tblGrid>
      <w:tr w14:paraId="2D01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69" w:type="pct"/>
            <w:vAlign w:val="center"/>
          </w:tcPr>
          <w:p w14:paraId="560C4A6F">
            <w:pPr>
              <w:widowControl/>
              <w:jc w:val="center"/>
              <w:rPr>
                <w:rFonts w:ascii="宋体" w:hAnsi="宋体" w:eastAsia="宋体" w:cs="宋体"/>
                <w:b/>
                <w:bCs/>
                <w:kern w:val="0"/>
                <w:sz w:val="20"/>
                <w:szCs w:val="21"/>
              </w:rPr>
            </w:pPr>
            <w:bookmarkStart w:id="2" w:name="_GoBack"/>
            <w:bookmarkEnd w:id="2"/>
            <w:bookmarkStart w:id="1" w:name="_Toc27844393"/>
            <w:r>
              <w:rPr>
                <w:rFonts w:hint="eastAsia" w:ascii="宋体" w:hAnsi="宋体" w:eastAsia="宋体" w:cs="宋体"/>
                <w:b/>
                <w:bCs/>
                <w:kern w:val="0"/>
                <w:sz w:val="21"/>
                <w:szCs w:val="21"/>
              </w:rPr>
              <w:t>序号</w:t>
            </w:r>
          </w:p>
        </w:tc>
        <w:tc>
          <w:tcPr>
            <w:tcW w:w="460" w:type="pct"/>
            <w:vAlign w:val="center"/>
          </w:tcPr>
          <w:p w14:paraId="6D6A0DF3">
            <w:pPr>
              <w:widowControl/>
              <w:jc w:val="center"/>
              <w:rPr>
                <w:rFonts w:ascii="宋体" w:hAnsi="宋体" w:eastAsia="宋体" w:cs="宋体"/>
                <w:b/>
                <w:bCs/>
                <w:kern w:val="0"/>
                <w:sz w:val="20"/>
                <w:szCs w:val="21"/>
              </w:rPr>
            </w:pPr>
            <w:r>
              <w:rPr>
                <w:rFonts w:hint="eastAsia" w:ascii="宋体" w:hAnsi="宋体" w:eastAsia="宋体" w:cs="宋体"/>
                <w:b/>
                <w:bCs/>
                <w:kern w:val="0"/>
                <w:sz w:val="21"/>
                <w:szCs w:val="21"/>
              </w:rPr>
              <w:t>服务项</w:t>
            </w:r>
          </w:p>
        </w:tc>
        <w:tc>
          <w:tcPr>
            <w:tcW w:w="3368" w:type="pct"/>
            <w:vAlign w:val="center"/>
          </w:tcPr>
          <w:p w14:paraId="37ED5963">
            <w:pPr>
              <w:widowControl/>
              <w:jc w:val="center"/>
              <w:rPr>
                <w:rFonts w:ascii="宋体" w:hAnsi="宋体" w:eastAsia="宋体" w:cs="宋体"/>
                <w:b/>
                <w:bCs/>
                <w:kern w:val="0"/>
                <w:sz w:val="20"/>
                <w:szCs w:val="21"/>
              </w:rPr>
            </w:pPr>
            <w:r>
              <w:rPr>
                <w:rFonts w:hint="eastAsia" w:ascii="宋体" w:hAnsi="宋体" w:eastAsia="宋体" w:cs="宋体"/>
                <w:b/>
                <w:bCs/>
                <w:kern w:val="0"/>
                <w:sz w:val="21"/>
                <w:szCs w:val="21"/>
              </w:rPr>
              <w:t>服务技术要求和说明</w:t>
            </w:r>
          </w:p>
        </w:tc>
        <w:tc>
          <w:tcPr>
            <w:tcW w:w="387" w:type="pct"/>
            <w:vAlign w:val="center"/>
          </w:tcPr>
          <w:p w14:paraId="07C6503D">
            <w:pPr>
              <w:widowControl/>
              <w:jc w:val="center"/>
              <w:rPr>
                <w:rFonts w:ascii="宋体" w:hAnsi="宋体" w:eastAsia="宋体" w:cs="宋体"/>
                <w:b/>
                <w:bCs/>
                <w:kern w:val="0"/>
                <w:sz w:val="20"/>
                <w:szCs w:val="21"/>
              </w:rPr>
            </w:pPr>
            <w:r>
              <w:rPr>
                <w:rFonts w:hint="eastAsia" w:ascii="宋体" w:hAnsi="宋体" w:eastAsia="宋体" w:cs="宋体"/>
                <w:b/>
                <w:bCs/>
                <w:kern w:val="0"/>
                <w:sz w:val="21"/>
                <w:szCs w:val="21"/>
              </w:rPr>
              <w:t>单位</w:t>
            </w:r>
          </w:p>
        </w:tc>
        <w:tc>
          <w:tcPr>
            <w:tcW w:w="414" w:type="pct"/>
            <w:vAlign w:val="center"/>
          </w:tcPr>
          <w:p w14:paraId="7C767867">
            <w:pPr>
              <w:widowControl/>
              <w:jc w:val="center"/>
              <w:rPr>
                <w:rFonts w:ascii="宋体" w:hAnsi="宋体" w:eastAsia="宋体" w:cs="宋体"/>
                <w:b/>
                <w:bCs/>
                <w:kern w:val="0"/>
                <w:sz w:val="20"/>
                <w:szCs w:val="21"/>
              </w:rPr>
            </w:pPr>
            <w:r>
              <w:rPr>
                <w:rFonts w:hint="eastAsia" w:ascii="宋体" w:hAnsi="宋体" w:eastAsia="宋体" w:cs="宋体"/>
                <w:b/>
                <w:bCs/>
                <w:kern w:val="0"/>
                <w:sz w:val="21"/>
                <w:szCs w:val="21"/>
              </w:rPr>
              <w:t>数量</w:t>
            </w:r>
          </w:p>
        </w:tc>
      </w:tr>
      <w:tr w14:paraId="1329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69" w:type="pct"/>
            <w:vAlign w:val="center"/>
          </w:tcPr>
          <w:p w14:paraId="7E164C41">
            <w:pPr>
              <w:widowControl/>
              <w:jc w:val="center"/>
              <w:rPr>
                <w:rFonts w:ascii="宋体" w:hAnsi="宋体" w:eastAsia="宋体" w:cs="宋体"/>
                <w:kern w:val="0"/>
                <w:sz w:val="20"/>
                <w:szCs w:val="21"/>
              </w:rPr>
            </w:pPr>
            <w:r>
              <w:rPr>
                <w:rFonts w:hint="eastAsia" w:ascii="宋体" w:hAnsi="宋体" w:eastAsia="宋体" w:cs="宋体"/>
                <w:kern w:val="0"/>
                <w:sz w:val="21"/>
                <w:szCs w:val="21"/>
              </w:rPr>
              <w:t>1</w:t>
            </w:r>
          </w:p>
        </w:tc>
        <w:tc>
          <w:tcPr>
            <w:tcW w:w="460" w:type="pct"/>
            <w:vAlign w:val="center"/>
          </w:tcPr>
          <w:p w14:paraId="3E34C22B">
            <w:pPr>
              <w:widowControl/>
              <w:jc w:val="center"/>
              <w:rPr>
                <w:rFonts w:ascii="宋体" w:hAnsi="宋体" w:eastAsia="宋体" w:cs="宋体"/>
                <w:kern w:val="0"/>
                <w:sz w:val="20"/>
                <w:szCs w:val="21"/>
              </w:rPr>
            </w:pPr>
            <w:r>
              <w:rPr>
                <w:rFonts w:hint="eastAsia" w:ascii="宋体" w:hAnsi="宋体" w:eastAsia="宋体" w:cs="宋体"/>
                <w:kern w:val="0"/>
                <w:sz w:val="21"/>
                <w:szCs w:val="21"/>
              </w:rPr>
              <w:t>安全技术服务</w:t>
            </w:r>
          </w:p>
        </w:tc>
        <w:tc>
          <w:tcPr>
            <w:tcW w:w="3368" w:type="pct"/>
          </w:tcPr>
          <w:p w14:paraId="15DFF86D">
            <w:pPr>
              <w:rPr>
                <w:rFonts w:ascii="宋体" w:hAnsi="宋体" w:eastAsia="宋体" w:cs="宋体"/>
                <w:kern w:val="0"/>
                <w:sz w:val="20"/>
                <w:szCs w:val="21"/>
              </w:rPr>
            </w:pPr>
            <w:r>
              <w:rPr>
                <w:rFonts w:hint="eastAsia" w:ascii="宋体" w:hAnsi="宋体" w:eastAsia="宋体" w:cs="宋体"/>
                <w:kern w:val="0"/>
                <w:sz w:val="21"/>
                <w:szCs w:val="21"/>
              </w:rPr>
              <w:t>安全技术服务的内容包括但不限于以下几个方面：</w:t>
            </w:r>
          </w:p>
          <w:p w14:paraId="2A845E8E">
            <w:pPr>
              <w:rPr>
                <w:rFonts w:ascii="宋体" w:hAnsi="宋体" w:eastAsia="宋体" w:cs="宋体"/>
                <w:kern w:val="0"/>
                <w:sz w:val="20"/>
                <w:szCs w:val="21"/>
              </w:rPr>
            </w:pPr>
            <w:r>
              <w:rPr>
                <w:rFonts w:hint="eastAsia" w:ascii="宋体" w:hAnsi="宋体" w:eastAsia="宋体" w:cs="宋体"/>
                <w:kern w:val="0"/>
                <w:sz w:val="21"/>
                <w:szCs w:val="21"/>
              </w:rPr>
              <w:t>1. 网络安全咨询：为客户提供安全咨询，根据客户需求提供安全方案、风险评估、安全策略等。</w:t>
            </w:r>
          </w:p>
          <w:p w14:paraId="548CE195">
            <w:pPr>
              <w:rPr>
                <w:rFonts w:ascii="宋体" w:hAnsi="宋体" w:eastAsia="宋体" w:cs="宋体"/>
                <w:kern w:val="0"/>
                <w:sz w:val="20"/>
                <w:szCs w:val="21"/>
              </w:rPr>
            </w:pPr>
            <w:r>
              <w:rPr>
                <w:rFonts w:hint="eastAsia" w:ascii="宋体" w:hAnsi="宋体" w:eastAsia="宋体" w:cs="宋体"/>
                <w:kern w:val="0"/>
                <w:sz w:val="21"/>
                <w:szCs w:val="21"/>
              </w:rPr>
              <w:t>2. 安全检测与评估：对客户的网络和系统进行安全检测，包括端口扫描、漏洞扫描、渗透测试、安全评估等。安全技术检测：包括安全物理环境、安全通信网络、安全区域边界、安全计算环境和安全管理中心等五个方面的安全检测；安全管理检测：安全管理机构、安全管理制度、安全管理人员、安全建设管理和安全运维管理等五个方面的安全控制检测；对学校官网、智慧校园平台进行检测，根据检测结果出具相应的检测报告，并报送相关部门备案。</w:t>
            </w:r>
          </w:p>
          <w:p w14:paraId="52A1C204">
            <w:pPr>
              <w:rPr>
                <w:rFonts w:ascii="宋体" w:hAnsi="宋体" w:eastAsia="宋体" w:cs="宋体"/>
                <w:kern w:val="0"/>
                <w:sz w:val="20"/>
                <w:szCs w:val="21"/>
              </w:rPr>
            </w:pPr>
            <w:r>
              <w:rPr>
                <w:rFonts w:hint="eastAsia" w:ascii="宋体" w:hAnsi="宋体" w:eastAsia="宋体" w:cs="宋体"/>
                <w:kern w:val="0"/>
                <w:sz w:val="21"/>
                <w:szCs w:val="21"/>
              </w:rPr>
              <w:t>3.漏洞扫描：使用漏洞扫描工具对业务系统、数据库、操作系统、中间件等进行漏洞、端口、弱口令的扫描检测，扫描完成后由技术人员对漏洞进行确认测试，提出整改建议，协助开发人员整改。</w:t>
            </w:r>
          </w:p>
          <w:p w14:paraId="154E9ABA">
            <w:pPr>
              <w:rPr>
                <w:rFonts w:ascii="宋体" w:hAnsi="宋体" w:eastAsia="宋体" w:cs="宋体"/>
                <w:kern w:val="0"/>
                <w:sz w:val="20"/>
                <w:szCs w:val="21"/>
              </w:rPr>
            </w:pPr>
            <w:r>
              <w:rPr>
                <w:rFonts w:hint="eastAsia" w:ascii="宋体" w:hAnsi="宋体" w:eastAsia="宋体" w:cs="宋体"/>
                <w:kern w:val="0"/>
                <w:sz w:val="21"/>
                <w:szCs w:val="21"/>
              </w:rPr>
              <w:t>4、渗透测试：对应用系统模拟黑客攻击进行无害安全性测试，发现系统存在的安全问题，对过程中发现的问题及风险提出安全加固建议。渗透测试除了通用漏洞和常规漏洞以外还可以发现更多和业务逻辑相关的漏洞如越权访问、支付漏洞、口令找回等业务逻辑漏洞；并且安全专家会针对性给出漏洞验证及利用的过程展示。</w:t>
            </w:r>
          </w:p>
          <w:p w14:paraId="69A78F7F">
            <w:pPr>
              <w:rPr>
                <w:rFonts w:ascii="宋体" w:hAnsi="宋体" w:eastAsia="宋体" w:cs="宋体"/>
                <w:kern w:val="0"/>
                <w:sz w:val="20"/>
                <w:szCs w:val="21"/>
              </w:rPr>
            </w:pPr>
            <w:r>
              <w:rPr>
                <w:rFonts w:hint="eastAsia" w:ascii="宋体" w:hAnsi="宋体" w:eastAsia="宋体" w:cs="宋体"/>
                <w:kern w:val="0"/>
                <w:sz w:val="21"/>
                <w:szCs w:val="21"/>
              </w:rPr>
              <w:t>5、应急响应：当发生外部黑客入侵、数据泄露、木马病毒等突发安全事件时，提供包括事件检测与分析、风险抑制、问题根除、协助业务恢复的服务，能够协助用户快速止损，最大化降低安全事件带来的影响。</w:t>
            </w:r>
          </w:p>
          <w:p w14:paraId="28E56CB0">
            <w:pPr>
              <w:rPr>
                <w:rFonts w:ascii="宋体" w:hAnsi="宋体" w:eastAsia="宋体" w:cs="宋体"/>
                <w:kern w:val="0"/>
                <w:sz w:val="20"/>
                <w:szCs w:val="21"/>
              </w:rPr>
            </w:pPr>
            <w:r>
              <w:rPr>
                <w:rFonts w:hint="eastAsia" w:ascii="宋体" w:hAnsi="宋体" w:eastAsia="宋体" w:cs="宋体"/>
                <w:kern w:val="0"/>
                <w:sz w:val="21"/>
                <w:szCs w:val="21"/>
              </w:rPr>
              <w:t>6、配合迎检：主要针对相关管理机构对单位进行安全检查时，提供相应的技术支持服务，服务内容包含，资料收集整理、技术人员协助配合服务等。</w:t>
            </w:r>
          </w:p>
          <w:p w14:paraId="3AE07D69">
            <w:pPr>
              <w:pStyle w:val="3"/>
              <w:rPr>
                <w:rFonts w:ascii="宋体" w:hAnsi="宋体" w:eastAsia="宋体" w:cs="宋体"/>
                <w:kern w:val="0"/>
                <w:sz w:val="20"/>
                <w:szCs w:val="21"/>
              </w:rPr>
            </w:pPr>
            <w:r>
              <w:rPr>
                <w:rFonts w:hint="eastAsia" w:ascii="宋体" w:hAnsi="宋体" w:eastAsia="宋体" w:cs="宋体"/>
                <w:kern w:val="0"/>
                <w:sz w:val="21"/>
                <w:szCs w:val="21"/>
              </w:rPr>
              <w:t>7、通过对机房中所包含硬件设备和软件系统的优化，保证硬件设备系统稳定、安全、高效运行；对存在问题及突发故障提供及时有效的技术支持、完善的解决方案和事前防范机制，降低故障对生产的影响，使业务系统保持或迅速恢复其良好的工作状态，并消除产生故障的薄弱环节。</w:t>
            </w:r>
          </w:p>
          <w:p w14:paraId="692CD0CE">
            <w:pPr>
              <w:pStyle w:val="3"/>
              <w:rPr>
                <w:rFonts w:ascii="宋体" w:hAnsi="宋体" w:eastAsia="宋体" w:cs="宋体"/>
                <w:kern w:val="0"/>
                <w:sz w:val="20"/>
                <w:szCs w:val="21"/>
              </w:rPr>
            </w:pPr>
            <w:r>
              <w:rPr>
                <w:rFonts w:hint="eastAsia" w:ascii="宋体" w:hAnsi="宋体" w:eastAsia="宋体" w:cs="宋体"/>
                <w:kern w:val="0"/>
                <w:sz w:val="21"/>
                <w:szCs w:val="21"/>
              </w:rPr>
              <w:t>8、服务响应时间：（1）故障报修热线服务：提供7×24不间断的电话服务支持，不限次，响应时间不超过10分钟。采购人在使用维保范围内硬件或软件如遇到问题，都随时可以从供应商得到电话支持与帮助。</w:t>
            </w:r>
          </w:p>
          <w:p w14:paraId="547946C2">
            <w:pPr>
              <w:rPr>
                <w:rFonts w:ascii="宋体" w:hAnsi="宋体" w:eastAsia="宋体" w:cs="宋体"/>
                <w:kern w:val="0"/>
                <w:sz w:val="20"/>
                <w:szCs w:val="21"/>
              </w:rPr>
            </w:pPr>
            <w:r>
              <w:rPr>
                <w:rFonts w:hint="eastAsia" w:ascii="宋体" w:hAnsi="宋体" w:eastAsia="宋体" w:cs="宋体"/>
                <w:kern w:val="0"/>
                <w:sz w:val="21"/>
                <w:szCs w:val="21"/>
              </w:rPr>
              <w:t>（2）远程问题诊断和支持服务：提供7×24远程协助支持，响应时间不超过20分钟。若故障不能通过热线支持解决，供应商可使用远程支持服务工具对服务范围内的设备进行远程诊断，或通过其它远程方式为解决问题提供帮助。</w:t>
            </w:r>
          </w:p>
          <w:p w14:paraId="51A778D4">
            <w:pPr>
              <w:pStyle w:val="3"/>
              <w:rPr>
                <w:kern w:val="0"/>
                <w:sz w:val="20"/>
                <w:szCs w:val="20"/>
              </w:rPr>
            </w:pPr>
            <w:r>
              <w:rPr>
                <w:rFonts w:hint="eastAsia" w:ascii="宋体" w:hAnsi="宋体" w:eastAsia="宋体" w:cs="宋体"/>
                <w:kern w:val="0"/>
                <w:sz w:val="21"/>
                <w:szCs w:val="21"/>
              </w:rPr>
              <w:t>（</w:t>
            </w:r>
            <w:r>
              <w:rPr>
                <w:rFonts w:hint="eastAsia" w:ascii="宋体" w:hAnsi="宋体" w:eastAsia="宋体" w:cs="宋体"/>
                <w:color w:val="000000" w:themeColor="text1"/>
                <w:kern w:val="0"/>
                <w:sz w:val="21"/>
                <w:szCs w:val="21"/>
                <w14:textFill>
                  <w14:solidFill>
                    <w14:schemeClr w14:val="tx1"/>
                  </w14:solidFill>
                </w14:textFill>
              </w:rPr>
              <w:t>3）现场支持服务：</w:t>
            </w:r>
            <w:r>
              <w:rPr>
                <w:rFonts w:hint="eastAsia" w:ascii="宋体" w:hAnsi="宋体" w:eastAsia="宋体" w:cs="宋体"/>
                <w:kern w:val="0"/>
                <w:sz w:val="21"/>
                <w:szCs w:val="21"/>
              </w:rPr>
              <w:t>对于通过电话支持和远程支持都不能解决的软件故障，供应商应提供7×24小时现场支持服务，安排经验丰富的技术支持工程师赴现场分析故障原因，制定故障解决方案，响应时间不多于1小时。</w:t>
            </w:r>
          </w:p>
        </w:tc>
        <w:tc>
          <w:tcPr>
            <w:tcW w:w="387" w:type="pct"/>
            <w:vAlign w:val="center"/>
          </w:tcPr>
          <w:p w14:paraId="4D13B143">
            <w:pPr>
              <w:widowControl/>
              <w:jc w:val="center"/>
              <w:rPr>
                <w:rFonts w:ascii="宋体" w:hAnsi="宋体" w:eastAsia="宋体" w:cs="宋体"/>
                <w:spacing w:val="-3"/>
                <w:kern w:val="0"/>
                <w:sz w:val="20"/>
                <w:szCs w:val="21"/>
              </w:rPr>
            </w:pPr>
            <w:r>
              <w:rPr>
                <w:rFonts w:hint="eastAsia" w:ascii="宋体" w:hAnsi="宋体" w:eastAsia="宋体" w:cs="宋体"/>
                <w:spacing w:val="-3"/>
                <w:kern w:val="0"/>
                <w:sz w:val="21"/>
                <w:szCs w:val="21"/>
              </w:rPr>
              <w:t>项</w:t>
            </w:r>
          </w:p>
        </w:tc>
        <w:tc>
          <w:tcPr>
            <w:tcW w:w="414" w:type="pct"/>
            <w:vAlign w:val="center"/>
          </w:tcPr>
          <w:p w14:paraId="0EE31073">
            <w:pPr>
              <w:widowControl/>
              <w:jc w:val="center"/>
              <w:rPr>
                <w:rFonts w:ascii="宋体" w:hAnsi="宋体" w:eastAsia="宋体" w:cs="宋体"/>
                <w:spacing w:val="-3"/>
                <w:kern w:val="0"/>
                <w:sz w:val="20"/>
                <w:szCs w:val="21"/>
              </w:rPr>
            </w:pPr>
            <w:r>
              <w:rPr>
                <w:rFonts w:hint="eastAsia" w:ascii="宋体" w:hAnsi="宋体" w:eastAsia="宋体" w:cs="宋体"/>
                <w:spacing w:val="-3"/>
                <w:kern w:val="0"/>
                <w:sz w:val="21"/>
                <w:szCs w:val="21"/>
              </w:rPr>
              <w:t>1</w:t>
            </w:r>
          </w:p>
        </w:tc>
      </w:tr>
      <w:bookmarkEnd w:id="1"/>
    </w:tbl>
    <w:p w14:paraId="5F786557">
      <w:pPr>
        <w:pStyle w:val="2"/>
        <w:rPr>
          <w:rFonts w:ascii="宋体" w:hAnsi="宋体" w:eastAsia="宋体" w:cs="宋体"/>
          <w:sz w:val="24"/>
          <w:szCs w:val="24"/>
        </w:rPr>
      </w:pPr>
      <w:r>
        <w:rPr>
          <w:rFonts w:hint="eastAsia" w:ascii="宋体" w:hAnsi="宋体" w:eastAsia="宋体" w:cs="宋体"/>
          <w:sz w:val="24"/>
          <w:szCs w:val="24"/>
        </w:rPr>
        <w:t>三、保密要求</w:t>
      </w:r>
    </w:p>
    <w:p w14:paraId="70033B66">
      <w:pPr>
        <w:widowControl/>
        <w:overflowPunct w:val="0"/>
        <w:spacing w:line="360" w:lineRule="exact"/>
        <w:ind w:firstLine="475" w:firstLineChars="198"/>
        <w:jc w:val="left"/>
        <w:rPr>
          <w:rFonts w:ascii="宋体" w:hAnsi="宋体" w:eastAsia="宋体" w:cs="宋体"/>
        </w:rPr>
      </w:pPr>
      <w:r>
        <w:rPr>
          <w:rFonts w:hint="eastAsia" w:ascii="宋体" w:hAnsi="宋体" w:eastAsia="宋体" w:cs="宋体"/>
          <w:kern w:val="0"/>
          <w:sz w:val="24"/>
          <w:szCs w:val="24"/>
        </w:rPr>
        <w:t>未经采购方同意，供应商不得向第三方透漏项目和涉及双方企业信息安全、重要数据等任何内容。供应商应保证</w:t>
      </w:r>
      <w:r>
        <w:rPr>
          <w:rFonts w:hint="eastAsia" w:ascii="宋体" w:hAnsi="宋体" w:eastAsia="宋体" w:cs="宋体"/>
          <w:sz w:val="24"/>
          <w:szCs w:val="24"/>
        </w:rPr>
        <w:t>安全技术服务活动中相关数据和信息安全，不得泄露在安全技术服务中知悉的商业秘密、重要敏感信息和个人信息；未经采购方同意，不得擅自发布、泄露在安全技术服务中收集掌握的网络信息、系统漏洞、恶意代码、网络攻击等信息。</w:t>
      </w:r>
    </w:p>
    <w:p w14:paraId="129E8A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5E2"/>
    <w:rsid w:val="002A7C2A"/>
    <w:rsid w:val="008043DD"/>
    <w:rsid w:val="00996664"/>
    <w:rsid w:val="009C39D0"/>
    <w:rsid w:val="009F5A9D"/>
    <w:rsid w:val="00E905E2"/>
    <w:rsid w:val="5CA2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next w:val="4"/>
    <w:link w:val="17"/>
    <w:qFormat/>
    <w:uiPriority w:val="0"/>
    <w:pPr>
      <w:spacing w:after="120"/>
    </w:pPr>
  </w:style>
  <w:style w:type="paragraph" w:styleId="4">
    <w:name w:val="Body Text 2"/>
    <w:basedOn w:val="1"/>
    <w:link w:val="19"/>
    <w:semiHidden/>
    <w:unhideWhenUsed/>
    <w:uiPriority w:val="99"/>
    <w:pPr>
      <w:spacing w:after="120" w:line="480" w:lineRule="auto"/>
    </w:pPr>
  </w:style>
  <w:style w:type="paragraph" w:styleId="5">
    <w:name w:val="Body Text Indent"/>
    <w:basedOn w:val="1"/>
    <w:link w:val="20"/>
    <w:semiHidden/>
    <w:unhideWhenUsed/>
    <w:uiPriority w:val="99"/>
    <w:pPr>
      <w:spacing w:after="120"/>
      <w:ind w:left="420" w:leftChars="200"/>
    </w:pPr>
  </w:style>
  <w:style w:type="paragraph" w:styleId="6">
    <w:name w:val="footer"/>
    <w:basedOn w:val="1"/>
    <w:link w:val="15"/>
    <w:unhideWhenUsed/>
    <w:uiPriority w:val="99"/>
    <w:pPr>
      <w:tabs>
        <w:tab w:val="center" w:pos="4153"/>
        <w:tab w:val="right" w:pos="8306"/>
      </w:tabs>
      <w:snapToGrid w:val="0"/>
      <w:jc w:val="left"/>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next w:val="9"/>
    <w:link w:val="18"/>
    <w:unhideWhenUsed/>
    <w:qFormat/>
    <w:uiPriority w:val="99"/>
    <w:pPr>
      <w:ind w:firstLine="420" w:firstLineChars="100"/>
    </w:pPr>
  </w:style>
  <w:style w:type="paragraph" w:styleId="9">
    <w:name w:val="Body Text First Indent 2"/>
    <w:basedOn w:val="5"/>
    <w:link w:val="21"/>
    <w:semiHidden/>
    <w:unhideWhenUsed/>
    <w:uiPriority w:val="99"/>
    <w:pPr>
      <w:ind w:firstLine="420" w:firstLineChars="200"/>
    </w:pPr>
  </w:style>
  <w:style w:type="table" w:styleId="11">
    <w:name w:val="Table Grid"/>
    <w:basedOn w:val="10"/>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iPriority w:val="0"/>
    <w:rPr>
      <w:color w:val="0000FF"/>
      <w:u w:val="single"/>
    </w:rPr>
  </w:style>
  <w:style w:type="character" w:customStyle="1" w:styleId="14">
    <w:name w:val="页眉 Char"/>
    <w:basedOn w:val="12"/>
    <w:link w:val="7"/>
    <w:uiPriority w:val="99"/>
    <w:rPr>
      <w:sz w:val="18"/>
      <w:szCs w:val="18"/>
    </w:rPr>
  </w:style>
  <w:style w:type="character" w:customStyle="1" w:styleId="15">
    <w:name w:val="页脚 Char"/>
    <w:basedOn w:val="12"/>
    <w:link w:val="6"/>
    <w:uiPriority w:val="99"/>
    <w:rPr>
      <w:sz w:val="18"/>
      <w:szCs w:val="18"/>
    </w:rPr>
  </w:style>
  <w:style w:type="character" w:customStyle="1" w:styleId="16">
    <w:name w:val="标题 2 Char"/>
    <w:basedOn w:val="12"/>
    <w:link w:val="2"/>
    <w:uiPriority w:val="0"/>
    <w:rPr>
      <w:rFonts w:ascii="Arial" w:hAnsi="Arial" w:eastAsia="黑体"/>
      <w:b/>
      <w:sz w:val="32"/>
    </w:rPr>
  </w:style>
  <w:style w:type="character" w:customStyle="1" w:styleId="17">
    <w:name w:val="正文文本 Char"/>
    <w:basedOn w:val="12"/>
    <w:link w:val="3"/>
    <w:uiPriority w:val="0"/>
  </w:style>
  <w:style w:type="character" w:customStyle="1" w:styleId="18">
    <w:name w:val="正文首行缩进 Char"/>
    <w:basedOn w:val="17"/>
    <w:link w:val="8"/>
    <w:uiPriority w:val="99"/>
  </w:style>
  <w:style w:type="character" w:customStyle="1" w:styleId="19">
    <w:name w:val="正文文本 2 Char"/>
    <w:basedOn w:val="12"/>
    <w:link w:val="4"/>
    <w:semiHidden/>
    <w:uiPriority w:val="99"/>
  </w:style>
  <w:style w:type="character" w:customStyle="1" w:styleId="20">
    <w:name w:val="正文文本缩进 Char"/>
    <w:basedOn w:val="12"/>
    <w:link w:val="5"/>
    <w:semiHidden/>
    <w:uiPriority w:val="99"/>
  </w:style>
  <w:style w:type="character" w:customStyle="1" w:styleId="21">
    <w:name w:val="正文首行缩进 2 Char"/>
    <w:basedOn w:val="20"/>
    <w:link w:val="9"/>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1638</Words>
  <Characters>1681</Characters>
  <Lines>13</Lines>
  <Paragraphs>3</Paragraphs>
  <TotalTime>8</TotalTime>
  <ScaleCrop>false</ScaleCrop>
  <LinksUpToDate>false</LinksUpToDate>
  <CharactersWithSpaces>1687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2026-01-05T07:06:00Z</dcterms:created>
  <dc:creator>微软用户</dc:creator>
  <cp:lastModifiedBy>淡如茶香</cp:lastModifiedBy>
  <dcterms:modified xsi:type="dcterms:W3CDTF">2026-01-05T08:29:10Z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eyJoZGlkIjoiMDMxZGM2NDJmMTIzNTA2NTBmNWJjYmI1NzNhYmUxOTkiLCJ1c2VySWQiOiI4NTk2NTA3NzIifQ==</vt:lpwstr>
  </property>
  <property fmtid="{D5CDD505-2E9C-101B-9397-08002B2CF9AE}" pid="3" name="KSOProductBuildVer">
    <vt:lpwstr>2052-12.1.0.24034</vt:lpwstr>
  </property>
  <property fmtid="{D5CDD505-2E9C-101B-9397-08002B2CF9AE}" pid="4" name="ICV">
    <vt:lpwstr>4BBEE9A92FA44827BD92598D0C8388F2_13</vt:lpwstr>
  </property>
</Properties>
</file>