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3D43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电子商城竞价项目采购需求确认书</w:t>
      </w:r>
    </w:p>
    <w:p w14:paraId="63A1AEA1">
      <w:pPr>
        <w:jc w:val="center"/>
        <w:rPr>
          <w:rFonts w:hint="eastAsia" w:ascii="黑体" w:hAnsi="黑体" w:eastAsia="黑体" w:cs="黑体"/>
          <w:szCs w:val="21"/>
        </w:rPr>
      </w:pPr>
    </w:p>
    <w:p w14:paraId="5CC934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项目名称：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>驻马店市中医院外科楼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机房UPS及蓄电池更换改造</w:t>
      </w:r>
    </w:p>
    <w:p w14:paraId="117A99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  <w:lang w:val="en-US" w:eastAsia="zh-CN"/>
        </w:rPr>
        <w:t>项目</w:t>
      </w: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说明：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 xml:space="preserve">   由于外科楼12楼信息科备用机房UPS及蓄电池使用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8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>年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余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>，UPS机头故障已经维修过多次，蓄电池也超过本身设计寿命期限，存在鼓包或漏液安全隐患，如果UPS故障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会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>影响机房所有设备的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正常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>运行，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需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>进行外科楼机房UPS及蓄电池的更换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eastAsia="zh-CN"/>
        </w:rPr>
        <w:t>，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 xml:space="preserve">保证机房设备稳定运行。                                          </w:t>
      </w:r>
    </w:p>
    <w:p w14:paraId="0022F7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 xml:space="preserve">     拦标价：1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5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 xml:space="preserve">万                                    </w:t>
      </w: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 xml:space="preserve">   </w:t>
      </w:r>
    </w:p>
    <w:p w14:paraId="588998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拟挂网时间：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 xml:space="preserve">      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  <w:lang w:val="en-US" w:eastAsia="zh-CN"/>
        </w:rPr>
        <w:t>3</w:t>
      </w:r>
      <w:r>
        <w:rPr>
          <w:rFonts w:hint="eastAsia" w:eastAsia="宋体" w:cs="宋体" w:asciiTheme="minorEastAsia" w:hAnsiTheme="minorEastAsia"/>
          <w:kern w:val="0"/>
          <w:sz w:val="21"/>
          <w:szCs w:val="21"/>
          <w:u w:val="single"/>
        </w:rPr>
        <w:t xml:space="preserve">天                        </w:t>
      </w:r>
    </w:p>
    <w:p w14:paraId="319F6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资质要求：</w:t>
      </w:r>
    </w:p>
    <w:p w14:paraId="4B2D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eastAsia="宋体" w:cs="宋体" w:asciiTheme="minorEastAsia" w:hAnsiTheme="minorEastAsia"/>
          <w:kern w:val="0"/>
          <w:sz w:val="21"/>
          <w:szCs w:val="21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1</w:t>
      </w:r>
      <w:r>
        <w:rPr>
          <w:rFonts w:eastAsia="宋体" w:cs="宋体" w:asciiTheme="minorEastAsia" w:hAnsiTheme="minorEastAsia"/>
          <w:kern w:val="0"/>
          <w:sz w:val="21"/>
          <w:szCs w:val="21"/>
        </w:rPr>
        <w:t>、</w:t>
      </w: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参与竞价单位具备《中华人民共和国政府采购法》第二十二条规定的条件，具有独立法人资格，并持有有效的营业执照。</w:t>
      </w:r>
    </w:p>
    <w:p w14:paraId="2F27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eastAsia="宋体" w:cs="宋体" w:asciiTheme="minorEastAsia" w:hAnsi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2、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具有履行合同所必须的设备和专业技术能力。</w:t>
      </w:r>
    </w:p>
    <w:p w14:paraId="0AFF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eastAsia="宋体" w:cs="宋体" w:asciiTheme="minorEastAsia" w:hAnsi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3、对列入失信被执行人、重大税收违法失信主体、政府采购严重违法失信行为记录名单的供应商，拒绝参与本项目，提供查询记录（“信用中国”及“中国政府采购网”查询记录）</w:t>
      </w:r>
    </w:p>
    <w:p w14:paraId="05EA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eastAsia="宋体" w:cs="宋体" w:asciiTheme="minorEastAsia" w:hAnsi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/>
          <w:sz w:val="21"/>
          <w:szCs w:val="21"/>
        </w:rPr>
        <w:t>有投标意向的供应商需在竞价公告发出后，进行现场勘察，并向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招标办</w:t>
      </w:r>
      <w:r>
        <w:rPr>
          <w:rFonts w:hint="eastAsia" w:asciiTheme="minorEastAsia" w:hAnsiTheme="minorEastAsia"/>
          <w:sz w:val="21"/>
          <w:szCs w:val="21"/>
        </w:rPr>
        <w:t>提交施工方案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方案包括实施方案、布局规划、报价、</w:t>
      </w:r>
      <w:r>
        <w:rPr>
          <w:rFonts w:hint="eastAsia" w:eastAsia="宋体" w:cs="宋体" w:asciiTheme="minorEastAsia" w:hAnsi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项目经理资质、成功案例。</w:t>
      </w:r>
    </w:p>
    <w:p w14:paraId="7B04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对列入失信被执行人、重大税收违法失信主体、政府采购严重违法失信行为记录名单的供应商，拒绝参与本项目，提供查询记录（“信用中国”及“中国政府采购网”查询记录）</w:t>
      </w:r>
    </w:p>
    <w:p w14:paraId="1137F636">
      <w:pPr>
        <w:spacing w:line="360" w:lineRule="auto"/>
        <w:jc w:val="left"/>
        <w:rPr>
          <w:rFonts w:hint="eastAsia" w:eastAsia="宋体" w:cs="宋体" w:asciiTheme="minorEastAsia" w:hAnsiTheme="minorEastAsia"/>
          <w:kern w:val="0"/>
          <w:sz w:val="21"/>
          <w:szCs w:val="21"/>
        </w:rPr>
      </w:pPr>
      <w:r>
        <w:rPr>
          <w:rFonts w:hint="eastAsia" w:eastAsia="宋体" w:cs="宋体" w:asciiTheme="minorEastAsia" w:hAnsiTheme="minorEastAsia"/>
          <w:kern w:val="0"/>
          <w:sz w:val="21"/>
          <w:szCs w:val="21"/>
        </w:rPr>
        <w:t>五、项目具体技术要求</w:t>
      </w:r>
    </w:p>
    <w:tbl>
      <w:tblPr>
        <w:tblStyle w:val="9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24"/>
        <w:gridCol w:w="5646"/>
        <w:gridCol w:w="486"/>
        <w:gridCol w:w="600"/>
      </w:tblGrid>
      <w:tr w14:paraId="69B0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27F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095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5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F3B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参数要求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FBE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5E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14:paraId="3491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D1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BB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模块化UPS</w:t>
            </w:r>
          </w:p>
        </w:tc>
        <w:tc>
          <w:tcPr>
            <w:tcW w:w="5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161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一、总体要求</w:t>
            </w:r>
          </w:p>
          <w:p w14:paraId="6762880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类型：双转换在线式UPS，支持纯在线模式与ECO节能模式切换。</w:t>
            </w:r>
          </w:p>
          <w:p w14:paraId="705B1E3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 容量：标称功率≥120kVA。</w:t>
            </w:r>
          </w:p>
          <w:p w14:paraId="73C0DF0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 设计标准：符合IEC 620401/GB 7260.1等国际及国家UPS标准。</w:t>
            </w:r>
          </w:p>
          <w:p w14:paraId="73648CA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二、输入特性</w:t>
            </w:r>
          </w:p>
          <w:p w14:paraId="360DF49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1. 输入电压范围：  </w:t>
            </w:r>
          </w:p>
          <w:p w14:paraId="5A6FCA4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   三相380V±25%（兼容304V~475V宽范围输入）。</w:t>
            </w:r>
          </w:p>
          <w:p w14:paraId="62322B7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 输入频率范围：50/60Hz±10%（自适应市电波动）。</w:t>
            </w:r>
          </w:p>
          <w:p w14:paraId="6B78161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 输入功率因数：≥0.99（满载时），降低谐波污染。</w:t>
            </w:r>
          </w:p>
          <w:p w14:paraId="4923218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三、输出特性</w:t>
            </w:r>
          </w:p>
          <w:p w14:paraId="19A98FF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输出电压：380V三相四线制，稳压精度±1%。</w:t>
            </w:r>
          </w:p>
          <w:p w14:paraId="19987D6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 输出频率：50/60Hz±0.1%（同步市电或电池逆变模式）。</w:t>
            </w:r>
          </w:p>
          <w:p w14:paraId="62C2805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 波形失真度：线性负载THD≤1%，非线性负载THD≤3%。</w:t>
            </w:r>
          </w:p>
          <w:p w14:paraId="61339AF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 过载能力： 125%负载：≥10分钟；150%负载：≥1分钟。</w:t>
            </w:r>
          </w:p>
          <w:p w14:paraId="6C5E375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四、电池配置</w:t>
            </w:r>
          </w:p>
          <w:p w14:paraId="464C3F5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电池类型：支持外接式铅酸电池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或锂电池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。</w:t>
            </w:r>
          </w:p>
          <w:p w14:paraId="23592C0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 后备时间：满载后备时间≥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分钟。</w:t>
            </w:r>
          </w:p>
          <w:p w14:paraId="4F2D743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 充电能力：具备智能充电管理，最大充电电流≥10A，支持快速充电。</w:t>
            </w:r>
          </w:p>
          <w:p w14:paraId="775D281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 电池保护：具备过充/过放/短路保护，支持冷启动功能。</w:t>
            </w:r>
          </w:p>
          <w:p w14:paraId="15B8DE1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五、通信与监控</w:t>
            </w:r>
          </w:p>
          <w:p w14:paraId="28B63AB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通信接口：标配RS485、干接点接口；支持SNMP、Modbus协议。</w:t>
            </w:r>
          </w:p>
          <w:p w14:paraId="7D5CBD9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2. 监控功能：  </w:t>
            </w:r>
          </w:p>
          <w:p w14:paraId="282863D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   本地LCD显示屏，实时显示电压、负载、电池状态；  </w:t>
            </w:r>
          </w:p>
          <w:p w14:paraId="607A50D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   支持远程监控及告警。</w:t>
            </w:r>
          </w:p>
          <w:p w14:paraId="3295F28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六、保护功能</w:t>
            </w:r>
          </w:p>
          <w:p w14:paraId="5BF0EAB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 电气保护：输入过压/欠压、输出过载/短路、电池反接保护。</w:t>
            </w:r>
          </w:p>
          <w:p w14:paraId="6AED5BA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 环境保护：过温保护、风扇故障告警、防雷击浪涌（≥40kA）。</w:t>
            </w:r>
          </w:p>
          <w:p w14:paraId="11A2C35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 冗余设计：支持并机运行（N+X冗余）。</w:t>
            </w:r>
          </w:p>
          <w:p w14:paraId="66B0295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七、效率与可靠性</w:t>
            </w:r>
          </w:p>
          <w:p w14:paraId="37E39B2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1. 整机效率：  </w:t>
            </w:r>
          </w:p>
          <w:p w14:paraId="6A43007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   双转换模式≥96%（满载），ECO模式≥99%。</w:t>
            </w:r>
          </w:p>
          <w:p w14:paraId="0340472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 切换时间：市电/电池零中断切换，逆变旁路切换≤4ms。</w:t>
            </w:r>
          </w:p>
          <w:p w14:paraId="251C409D"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 MTBF：≥200,000小时，年均故障率＜0.5%。</w:t>
            </w:r>
          </w:p>
        </w:tc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89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1</w:t>
            </w:r>
          </w:p>
        </w:tc>
      </w:tr>
      <w:tr w14:paraId="14F16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C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6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UPS功率模块</w:t>
            </w:r>
          </w:p>
        </w:tc>
        <w:tc>
          <w:tcPr>
            <w:tcW w:w="5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1、单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功率≥30KVA，</w:t>
            </w:r>
          </w:p>
          <w:p w14:paraId="1F136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旁路模块与功率模块均应并持热插拔功能；</w:t>
            </w:r>
          </w:p>
          <w:p w14:paraId="6C17A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标准机架尺寸，高度≤2U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；</w:t>
            </w:r>
          </w:p>
          <w:p w14:paraId="7C77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整套UPS电源安装于标准PDU机柜内，系统包括显示模块、STS静态开关机柜、INV功率模块、控制开关组成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标配模块可与标准机架通用。系统柜内标配安装旁路、整流、电池、输出、维修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开关，保证实际使用中的安全性及可靠性。</w:t>
            </w:r>
          </w:p>
          <w:p w14:paraId="02E2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每台UPS或每台模块可以独立工作，模块的增减可以将负载平衡到每一个模块上。</w:t>
            </w:r>
          </w:p>
          <w:p w14:paraId="53A9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输出电压：三相380V/220V；稳态精度：±1％；动态精度：±2％；波形失真：±2%（线性负载）</w:t>
            </w:r>
          </w:p>
          <w:p w14:paraId="24F8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功率模块输出频率：50/60Hz±0.01Hz</w:t>
            </w:r>
          </w:p>
          <w:p w14:paraId="6865B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、输出波形为连续的正弦波，在带100%不均衡负载时，仍然可以满足各相负载的正常供电（稳压率小于1%）</w:t>
            </w:r>
          </w:p>
          <w:p w14:paraId="236FB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、过载能力： 110%额定电流：1小时；125%额定电流：10分钟； 150%额定电流：1分钟</w:t>
            </w:r>
          </w:p>
          <w:p w14:paraId="7695F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旁路静态模块具有高可靠性，具备自检、互锁、保护等功能。在线更换不影响对负载供电，选用双旁路静态开关可实现冗余并联供电。</w:t>
            </w:r>
          </w:p>
          <w:p w14:paraId="20E5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F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E6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3</w:t>
            </w:r>
          </w:p>
        </w:tc>
      </w:tr>
      <w:tr w14:paraId="7AB3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1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9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蓄电池</w:t>
            </w:r>
          </w:p>
        </w:tc>
        <w:tc>
          <w:tcPr>
            <w:tcW w:w="5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铅酸蓄电池，≥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</w:p>
          <w:p w14:paraId="1192B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每块蓄电池≥1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AH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/12v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</w:p>
          <w:p w14:paraId="14586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设计蓄电池安全区域；</w:t>
            </w:r>
          </w:p>
          <w:p w14:paraId="1973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蓄电池间连接采用软连接线缆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外观无裸露端子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</w:p>
          <w:p w14:paraId="2400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蓄电池内阻应≤2mΩ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</w:p>
          <w:p w14:paraId="4E2C7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防漏液托盘；</w:t>
            </w:r>
          </w:p>
          <w:p w14:paraId="1FC06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包括设备安装调试联网。</w:t>
            </w:r>
          </w:p>
          <w:p w14:paraId="54B3A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蓄电池必须原厂生产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。</w:t>
            </w:r>
          </w:p>
          <w:p w14:paraId="5462E1D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电池架、电池柜及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蓄电池配套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电池连接线、电池开关箱等辅材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</w:p>
          <w:p w14:paraId="37C7F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蓄电池间接线板、终端接头应选择导电性能优良的材料，并具有防腐措施。</w:t>
            </w:r>
          </w:p>
          <w:p w14:paraId="2346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蓄电池槽、盖、安全阀，极柱封口剂等材料应具有阻燃性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旧设备和蓄电池拆除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。</w:t>
            </w:r>
          </w:p>
          <w:p w14:paraId="68004CB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电池柜分布按照承重进行机房布局规划， 方案1：机房南2个电池柜、机房北2个电池柜，电池组进行互联；方案2：根据勘察情况结合承重进行机房布局规划。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工程界面，按地震裂度8度标准设计，蓄电池间连接线选用铜线软芯连接，连接线保护应采用阻燃料制成，并具有防腐措施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。</w:t>
            </w:r>
          </w:p>
          <w:p w14:paraId="494E7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蓄电池极性正确，正负极及端子有明显标志，便于连接，极板厚度应与使用寿命相适应。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蓄电池必须采用高强度的ABS外壳，全密封防泄漏结构，外壳无变形、裂纹及污迹，上盖及端子无损伤，正常工作时无酸雾逸出。</w:t>
            </w:r>
          </w:p>
          <w:p w14:paraId="643E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电解液呈凝胶固定状态，不流动、无漏液、使极板各部分反应均匀。</w:t>
            </w:r>
          </w:p>
          <w:p w14:paraId="77D1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放射状的板栅设计，采用紧装配技术，具有优良的高率放电性能。</w:t>
            </w:r>
          </w:p>
          <w:p w14:paraId="4B6B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耐腐蚀板栅合金设计，采用气体再化合技术。无酸雾析出，安全环保，无污染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。</w:t>
            </w:r>
          </w:p>
          <w:p w14:paraId="4F9B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使用寿命长：高强度紧装配工艺，提高电池装配紧度，防止活物质脱落，提高电池使用寿命。</w:t>
            </w:r>
          </w:p>
        </w:tc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F0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64</w:t>
            </w:r>
          </w:p>
        </w:tc>
      </w:tr>
      <w:tr w14:paraId="1FE0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5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B8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集成要求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96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1、符合行业标准，接入医院在运行的动环管理平台；</w:t>
            </w:r>
          </w:p>
          <w:p w14:paraId="33462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2、医院所有业务系统平均分布在2个机房，本次外科楼机房UPS改造根据情况需要断电操作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（断电时间≤5小时）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，需进行网络、服务器、双活存储数据进行走向调整等操作，确保UPS及蓄电池更换期间不影响医院业务正常运行。现场勘察后提供项目实施方案，方案包含：提供外科楼机房业务迁移服务（业务迁出和迁回）。</w:t>
            </w:r>
          </w:p>
          <w:p w14:paraId="28D93F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3、专业技术人员经验丰富，提供≥三份三甲医院信息化机房UPS及蓄电池实施成功案例合同，施工项目经理提供专业技术人员相关证件；</w:t>
            </w:r>
          </w:p>
          <w:p w14:paraId="79684E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UPS输入、输出电缆、铜鼻子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承重支架等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；</w:t>
            </w:r>
          </w:p>
          <w:p w14:paraId="57E5FA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、库房铺设照明线路一路；</w:t>
            </w:r>
          </w:p>
          <w:p w14:paraId="3F619F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6、含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旧设备拆除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；</w:t>
            </w:r>
          </w:p>
          <w:p w14:paraId="60135D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7、提供备用电路方案；</w:t>
            </w:r>
          </w:p>
          <w:p w14:paraId="675E1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8、提供厂家对本项目的授权；</w:t>
            </w:r>
          </w:p>
          <w:p w14:paraId="627F9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9、项目包含设备的运输、税收、安装、集成调试、人员培训、售后服务等交付使用的所有费用。</w:t>
            </w:r>
          </w:p>
          <w:p w14:paraId="5B73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10、免费质保期：验收后3年。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3年内免费上门服务。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质保期内维护配件为原厂产品。质保期从安装调试完毕，验收合格完毕之日开始计算。在质保期内，2小时内响应、8小时内解决。</w:t>
            </w:r>
          </w:p>
          <w:p w14:paraId="00BD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11、本项目为交钥匙工程，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包括设备安装调试联网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接入动环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投标设计方案负责整体项目的一切物品，以UPS及蓄电池整体项目投入机房正常运行为准，如有设计方案不全涉及追加由投标公司负责。</w:t>
            </w:r>
          </w:p>
          <w:p w14:paraId="27753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</w:tbl>
    <w:p w14:paraId="4ECC265B">
      <w:pPr>
        <w:spacing w:line="360" w:lineRule="auto"/>
        <w:jc w:val="left"/>
        <w:rPr>
          <w:rFonts w:hint="eastAsia" w:eastAsia="宋体" w:cs="宋体" w:asciiTheme="minorEastAsia" w:hAnsiTheme="minorEastAsia"/>
          <w:kern w:val="0"/>
          <w:sz w:val="21"/>
          <w:szCs w:val="21"/>
        </w:rPr>
      </w:pPr>
    </w:p>
    <w:p w14:paraId="308CCBBC">
      <w:pPr>
        <w:pStyle w:val="7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exact"/>
        <w:jc w:val="both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商务要求</w:t>
      </w:r>
    </w:p>
    <w:p w14:paraId="38E564B2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按照采购办通知的时间到医院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进行现场踏勘，现场踏勘后按照以上集成要求向采购办提交项目实施方案。方案至少包含设备报价、专业技术人员相关资质证件、≥三份三甲医院UPS项目成功案例合同、实施方案、机房业务迁移服务、旧设备拆除等。</w:t>
      </w:r>
    </w:p>
    <w:p w14:paraId="139B54A9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交货期：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确保UPS及蓄电池更换期间不影响外科楼机房的正常运行，按</w:t>
      </w:r>
      <w:r>
        <w:rPr>
          <w:rFonts w:hint="eastAsia" w:asciiTheme="minorEastAsia" w:hAnsiTheme="minorEastAsia"/>
          <w:sz w:val="21"/>
          <w:szCs w:val="21"/>
        </w:rPr>
        <w:t>合同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签订时间完成项目，不影响医院业务正常运行，如中标供应商无法按合同及时完成，院方有权解除合同，并追究</w:t>
      </w:r>
      <w:r>
        <w:rPr>
          <w:rFonts w:hint="eastAsia" w:asciiTheme="minorEastAsia" w:hAnsiTheme="minorEastAsia"/>
          <w:sz w:val="21"/>
          <w:szCs w:val="21"/>
        </w:rPr>
        <w:t>导致的经济损失。</w:t>
      </w:r>
    </w:p>
    <w:p w14:paraId="490B8AA5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交货地点：驻马店市中医院。</w:t>
      </w:r>
    </w:p>
    <w:p w14:paraId="4DB5EB18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1"/>
          <w:szCs w:val="21"/>
        </w:rPr>
        <w:t>付款条件、时间及比例：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项目开工设备进</w:t>
      </w:r>
      <w:r>
        <w:rPr>
          <w:rFonts w:hint="eastAsia" w:asciiTheme="minorEastAsia" w:hAnsiTheme="minorEastAsia"/>
          <w:sz w:val="21"/>
          <w:szCs w:val="21"/>
        </w:rPr>
        <w:t>现场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货物验货确认</w:t>
      </w:r>
      <w:r>
        <w:rPr>
          <w:rFonts w:hint="eastAsia" w:asciiTheme="minorEastAsia" w:hAnsiTheme="minorEastAsia"/>
          <w:sz w:val="21"/>
          <w:szCs w:val="21"/>
        </w:rPr>
        <w:t>后，甲方向乙方支付合同总金额的30%；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设备试运行一个月，正常运行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并验收合格后</w:t>
      </w:r>
      <w:r>
        <w:rPr>
          <w:rFonts w:hint="eastAsia" w:ascii="宋体" w:hAnsi="宋体" w:eastAsia="宋体" w:cs="宋体"/>
          <w:kern w:val="0"/>
          <w:sz w:val="21"/>
          <w:szCs w:val="21"/>
        </w:rPr>
        <w:t>，甲方向乙方支付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合同款40</w:t>
      </w:r>
      <w:r>
        <w:rPr>
          <w:rFonts w:hint="eastAsia" w:ascii="宋体" w:hAnsi="宋体" w:eastAsia="宋体" w:cs="宋体"/>
          <w:kern w:val="0"/>
          <w:sz w:val="21"/>
          <w:szCs w:val="21"/>
        </w:rPr>
        <w:t>%；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一年后支付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合同款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的2</w:t>
      </w:r>
      <w:r>
        <w:rPr>
          <w:rFonts w:hint="eastAsia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%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三年后付</w:t>
      </w:r>
      <w:r>
        <w:rPr>
          <w:rFonts w:hint="eastAsia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%。</w:t>
      </w:r>
    </w:p>
    <w:p w14:paraId="61F8FB4A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服务期限：验收后三年免费质保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CD3959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指派经验丰富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项目经理实施。</w:t>
      </w:r>
    </w:p>
    <w:p w14:paraId="071DE1A7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本项目为交钥匙工程，具体以实际勘察结果提交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方案，</w:t>
      </w:r>
      <w:r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UPS及蓄电池整体项目投入机房正常运行为准，如有设计方案不全涉及费用追加由投标公司负责。</w:t>
      </w:r>
    </w:p>
    <w:p w14:paraId="36E734E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537EA4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驻马店市中医院</w:t>
      </w:r>
    </w:p>
    <w:p w14:paraId="5FD3F2F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default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2025年3月5日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91F30"/>
    <w:multiLevelType w:val="singleLevel"/>
    <w:tmpl w:val="8E291F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44ABD8"/>
    <w:multiLevelType w:val="singleLevel"/>
    <w:tmpl w:val="AC44ABD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D2FE2A"/>
    <w:multiLevelType w:val="singleLevel"/>
    <w:tmpl w:val="04D2FE2A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A3B8CF4"/>
    <w:multiLevelType w:val="singleLevel"/>
    <w:tmpl w:val="2A3B8C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DBhNjhkZTlkODIxMzFiYTc2ZTA0OTZjYjJhNzgifQ=="/>
  </w:docVars>
  <w:rsids>
    <w:rsidRoot w:val="4948794F"/>
    <w:rsid w:val="00093C7F"/>
    <w:rsid w:val="000A4A3A"/>
    <w:rsid w:val="000B401C"/>
    <w:rsid w:val="000D4881"/>
    <w:rsid w:val="0017729E"/>
    <w:rsid w:val="00212EA8"/>
    <w:rsid w:val="00215B57"/>
    <w:rsid w:val="00254AE5"/>
    <w:rsid w:val="00257232"/>
    <w:rsid w:val="003019F6"/>
    <w:rsid w:val="0030541B"/>
    <w:rsid w:val="0048174C"/>
    <w:rsid w:val="00490508"/>
    <w:rsid w:val="004F711F"/>
    <w:rsid w:val="005210C7"/>
    <w:rsid w:val="00535214"/>
    <w:rsid w:val="005D1E23"/>
    <w:rsid w:val="006A5FF1"/>
    <w:rsid w:val="00772F97"/>
    <w:rsid w:val="007C2922"/>
    <w:rsid w:val="00844180"/>
    <w:rsid w:val="008804A5"/>
    <w:rsid w:val="008A3E16"/>
    <w:rsid w:val="0091137E"/>
    <w:rsid w:val="009A7903"/>
    <w:rsid w:val="009F4B68"/>
    <w:rsid w:val="00A051D5"/>
    <w:rsid w:val="00AF74B5"/>
    <w:rsid w:val="00B05056"/>
    <w:rsid w:val="00B21C7A"/>
    <w:rsid w:val="00C2718E"/>
    <w:rsid w:val="00CE2BAB"/>
    <w:rsid w:val="00D11D44"/>
    <w:rsid w:val="00D464D7"/>
    <w:rsid w:val="00DA4B76"/>
    <w:rsid w:val="00DE50CC"/>
    <w:rsid w:val="00E018AF"/>
    <w:rsid w:val="00E81421"/>
    <w:rsid w:val="00EA37D6"/>
    <w:rsid w:val="00ED4A37"/>
    <w:rsid w:val="00F866A9"/>
    <w:rsid w:val="00FF4D38"/>
    <w:rsid w:val="01FC791F"/>
    <w:rsid w:val="031938C1"/>
    <w:rsid w:val="046B47BF"/>
    <w:rsid w:val="048900BC"/>
    <w:rsid w:val="059027D0"/>
    <w:rsid w:val="05D67331"/>
    <w:rsid w:val="062E0F1B"/>
    <w:rsid w:val="066813AB"/>
    <w:rsid w:val="072544E1"/>
    <w:rsid w:val="0A9B4EF3"/>
    <w:rsid w:val="0ACA0B50"/>
    <w:rsid w:val="0CEA033F"/>
    <w:rsid w:val="0D6649CA"/>
    <w:rsid w:val="0FC93932"/>
    <w:rsid w:val="0FF7591B"/>
    <w:rsid w:val="11056195"/>
    <w:rsid w:val="11571C59"/>
    <w:rsid w:val="13AD3D61"/>
    <w:rsid w:val="1403156B"/>
    <w:rsid w:val="16085872"/>
    <w:rsid w:val="18A54590"/>
    <w:rsid w:val="196F567B"/>
    <w:rsid w:val="1A422421"/>
    <w:rsid w:val="1BCD0437"/>
    <w:rsid w:val="201115E5"/>
    <w:rsid w:val="20120B0E"/>
    <w:rsid w:val="20AC4867"/>
    <w:rsid w:val="210D3CD7"/>
    <w:rsid w:val="21BE43AB"/>
    <w:rsid w:val="237035F5"/>
    <w:rsid w:val="2572277A"/>
    <w:rsid w:val="26BE4043"/>
    <w:rsid w:val="27D668C5"/>
    <w:rsid w:val="286D5860"/>
    <w:rsid w:val="289C18BC"/>
    <w:rsid w:val="293D2058"/>
    <w:rsid w:val="2A24242F"/>
    <w:rsid w:val="2B1A687E"/>
    <w:rsid w:val="33D97E69"/>
    <w:rsid w:val="374446F2"/>
    <w:rsid w:val="38AA5930"/>
    <w:rsid w:val="38AC2E1A"/>
    <w:rsid w:val="3AB955B0"/>
    <w:rsid w:val="3AFF6407"/>
    <w:rsid w:val="3BF865ED"/>
    <w:rsid w:val="3C506440"/>
    <w:rsid w:val="3CA15474"/>
    <w:rsid w:val="3DC239AC"/>
    <w:rsid w:val="3E481E73"/>
    <w:rsid w:val="3EEB0A50"/>
    <w:rsid w:val="405342D0"/>
    <w:rsid w:val="41C645B0"/>
    <w:rsid w:val="42BF46CD"/>
    <w:rsid w:val="442131E1"/>
    <w:rsid w:val="462C02CC"/>
    <w:rsid w:val="4693012C"/>
    <w:rsid w:val="481275B6"/>
    <w:rsid w:val="48A44149"/>
    <w:rsid w:val="48CF17CE"/>
    <w:rsid w:val="4948794F"/>
    <w:rsid w:val="4B356E93"/>
    <w:rsid w:val="4F061DBB"/>
    <w:rsid w:val="50AC4ED0"/>
    <w:rsid w:val="52B33D54"/>
    <w:rsid w:val="52BF25CA"/>
    <w:rsid w:val="543C5B7E"/>
    <w:rsid w:val="548767C9"/>
    <w:rsid w:val="57256D9D"/>
    <w:rsid w:val="58247A66"/>
    <w:rsid w:val="58480F53"/>
    <w:rsid w:val="58715D82"/>
    <w:rsid w:val="5BAD7361"/>
    <w:rsid w:val="5D713D22"/>
    <w:rsid w:val="5E5B483E"/>
    <w:rsid w:val="5EDB532E"/>
    <w:rsid w:val="60137CAB"/>
    <w:rsid w:val="60806DF2"/>
    <w:rsid w:val="63AB6980"/>
    <w:rsid w:val="64A9629C"/>
    <w:rsid w:val="65336016"/>
    <w:rsid w:val="65684E1C"/>
    <w:rsid w:val="663E19E2"/>
    <w:rsid w:val="66DE2EAC"/>
    <w:rsid w:val="67442194"/>
    <w:rsid w:val="680E175C"/>
    <w:rsid w:val="694B7418"/>
    <w:rsid w:val="6A3E7588"/>
    <w:rsid w:val="6A8F73ED"/>
    <w:rsid w:val="6C7843B5"/>
    <w:rsid w:val="6CA16A6E"/>
    <w:rsid w:val="6E3C7F2F"/>
    <w:rsid w:val="6F854425"/>
    <w:rsid w:val="74111A23"/>
    <w:rsid w:val="74CE13B1"/>
    <w:rsid w:val="766D2A97"/>
    <w:rsid w:val="7D8F646F"/>
    <w:rsid w:val="7F033565"/>
    <w:rsid w:val="7F2A1809"/>
    <w:rsid w:val="FFF7B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2"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table" w:styleId="10">
    <w:name w:val="Table Grid"/>
    <w:basedOn w:val="9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表段落1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2943</Words>
  <Characters>3193</Characters>
  <Lines>10</Lines>
  <Paragraphs>2</Paragraphs>
  <TotalTime>45</TotalTime>
  <ScaleCrop>false</ScaleCrop>
  <LinksUpToDate>false</LinksUpToDate>
  <CharactersWithSpaces>3473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2023-07-27T16:57:00Z</dcterms:created>
  <dc:creator>驻马店市中医院招标办</dc:creator>
  <cp:lastModifiedBy>起舞的蝴蝶</cp:lastModifiedBy>
  <cp:lastPrinted>2025-03-19T07:22:00Z</cp:lastPrinted>
  <dcterms:modified xsi:type="dcterms:W3CDTF">2025-03-19T08:35:27Z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3A42F4641CD54CACB89403C45FFCDD8B_13</vt:lpwstr>
  </property>
  <property fmtid="{D5CDD505-2E9C-101B-9397-08002B2CF9AE}" pid="4" name="KSOTemplateDocerSaveRecord">
    <vt:lpwstr>eyJoZGlkIjoiM2Y2MzE4NTA1ZjdmMmIxOThkZThmMDdmY2ZlYmRiOGIiLCJ1c2VySWQiOiIzMTcyMDIzNjkifQ==</vt:lpwstr>
  </property>
</Properties>
</file>