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3D43B">
      <w:pPr>
        <w:jc w:val="center"/>
        <w:rPr>
          <w:rFonts w:hint="eastAsia" w:ascii="黑体" w:hAnsi="黑体" w:eastAsia="黑体" w:cs="黑体"/>
          <w:sz w:val="44"/>
          <w:szCs w:val="44"/>
        </w:rPr>
      </w:pPr>
      <w:r>
        <w:rPr>
          <w:rFonts w:hint="eastAsia" w:ascii="黑体" w:hAnsi="黑体" w:eastAsia="黑体" w:cs="黑体"/>
          <w:sz w:val="44"/>
          <w:szCs w:val="44"/>
        </w:rPr>
        <w:t>电子商城竞价项目采购需求确认书</w:t>
      </w:r>
    </w:p>
    <w:p w14:paraId="63A1AEA1">
      <w:pPr>
        <w:jc w:val="center"/>
        <w:rPr>
          <w:rFonts w:hint="eastAsia" w:ascii="黑体" w:hAnsi="黑体" w:eastAsia="黑体" w:cs="黑体"/>
          <w:szCs w:val="21"/>
        </w:rPr>
      </w:pPr>
    </w:p>
    <w:p w14:paraId="5CC9349C">
      <w:pPr>
        <w:keepNext w:val="0"/>
        <w:keepLines w:val="0"/>
        <w:pageBreakBefore w:val="0"/>
        <w:widowControl w:val="0"/>
        <w:numPr>
          <w:ilvl w:val="0"/>
          <w:numId w:val="1"/>
        </w:numPr>
        <w:kinsoku/>
        <w:wordWrap/>
        <w:overflowPunct/>
        <w:topLinePunct w:val="0"/>
        <w:autoSpaceDE/>
        <w:autoSpaceDN/>
        <w:bidi w:val="0"/>
        <w:adjustRightInd/>
        <w:snapToGrid/>
        <w:spacing w:line="420" w:lineRule="exact"/>
        <w:jc w:val="left"/>
        <w:textAlignment w:val="auto"/>
        <w:rPr>
          <w:rFonts w:hint="eastAsia" w:eastAsia="宋体" w:cs="宋体" w:asciiTheme="minorEastAsia" w:hAnsiTheme="minorEastAsia"/>
          <w:kern w:val="0"/>
          <w:sz w:val="21"/>
          <w:szCs w:val="21"/>
          <w:u w:val="single"/>
        </w:rPr>
      </w:pPr>
      <w:r>
        <w:rPr>
          <w:rFonts w:hint="eastAsia" w:eastAsia="宋体" w:cs="宋体" w:asciiTheme="minorEastAsia" w:hAnsiTheme="minorEastAsia"/>
          <w:kern w:val="0"/>
          <w:sz w:val="21"/>
          <w:szCs w:val="21"/>
        </w:rPr>
        <w:t>项目名称：</w:t>
      </w:r>
      <w:r>
        <w:rPr>
          <w:rFonts w:hint="eastAsia" w:eastAsia="宋体" w:cs="宋体" w:asciiTheme="minorEastAsia" w:hAnsiTheme="minorEastAsia"/>
          <w:kern w:val="0"/>
          <w:sz w:val="21"/>
          <w:szCs w:val="21"/>
          <w:u w:val="single"/>
        </w:rPr>
        <w:t>驻马店市中医院</w:t>
      </w:r>
      <w:r>
        <w:rPr>
          <w:rFonts w:hint="eastAsia" w:ascii="宋体" w:hAnsi="宋体" w:eastAsia="宋体" w:cs="宋体"/>
          <w:u w:val="single"/>
        </w:rPr>
        <w:t>杀毒软件升级运维服务</w:t>
      </w:r>
      <w:r>
        <w:rPr>
          <w:rFonts w:hint="eastAsia" w:ascii="宋体" w:hAnsi="宋体" w:eastAsia="宋体" w:cs="宋体"/>
          <w:u w:val="single"/>
          <w:lang w:val="en-US" w:eastAsia="zh-CN"/>
        </w:rPr>
        <w:t xml:space="preserve">                                     </w:t>
      </w:r>
    </w:p>
    <w:p w14:paraId="117A994E">
      <w:pPr>
        <w:keepNext w:val="0"/>
        <w:keepLines w:val="0"/>
        <w:pageBreakBefore w:val="0"/>
        <w:widowControl w:val="0"/>
        <w:numPr>
          <w:ilvl w:val="0"/>
          <w:numId w:val="1"/>
        </w:numPr>
        <w:kinsoku/>
        <w:wordWrap/>
        <w:overflowPunct/>
        <w:topLinePunct w:val="0"/>
        <w:autoSpaceDE/>
        <w:autoSpaceDN/>
        <w:bidi w:val="0"/>
        <w:adjustRightInd/>
        <w:snapToGrid/>
        <w:spacing w:line="420" w:lineRule="exact"/>
        <w:jc w:val="left"/>
        <w:textAlignment w:val="auto"/>
        <w:rPr>
          <w:rFonts w:hint="eastAsia" w:eastAsia="宋体" w:cs="宋体" w:asciiTheme="minorEastAsia" w:hAnsiTheme="minorEastAsia"/>
          <w:kern w:val="0"/>
          <w:sz w:val="21"/>
          <w:szCs w:val="21"/>
          <w:u w:val="single"/>
        </w:rPr>
      </w:pPr>
      <w:r>
        <w:rPr>
          <w:rFonts w:hint="eastAsia" w:eastAsia="宋体" w:cs="宋体" w:asciiTheme="minorEastAsia" w:hAnsiTheme="minorEastAsia"/>
          <w:kern w:val="0"/>
          <w:sz w:val="21"/>
          <w:szCs w:val="21"/>
          <w:lang w:val="en-US" w:eastAsia="zh-CN"/>
        </w:rPr>
        <w:t>项目</w:t>
      </w:r>
      <w:r>
        <w:rPr>
          <w:rFonts w:hint="eastAsia" w:eastAsia="宋体" w:cs="宋体" w:asciiTheme="minorEastAsia" w:hAnsiTheme="minorEastAsia"/>
          <w:kern w:val="0"/>
          <w:sz w:val="21"/>
          <w:szCs w:val="21"/>
        </w:rPr>
        <w:t>说明：</w:t>
      </w:r>
      <w:r>
        <w:rPr>
          <w:rFonts w:hint="eastAsia" w:eastAsia="宋体" w:cs="宋体" w:asciiTheme="minorEastAsia" w:hAnsiTheme="minorEastAsia"/>
          <w:kern w:val="0"/>
          <w:sz w:val="21"/>
          <w:szCs w:val="21"/>
          <w:u w:val="single"/>
        </w:rPr>
        <w:t>由于</w:t>
      </w:r>
      <w:r>
        <w:rPr>
          <w:rFonts w:hint="eastAsia" w:ascii="宋体" w:hAnsi="宋体" w:eastAsia="宋体" w:cs="宋体"/>
          <w:u w:val="single"/>
          <w:lang w:val="en-US" w:eastAsia="zh-CN"/>
        </w:rPr>
        <w:t>医院</w:t>
      </w:r>
      <w:r>
        <w:rPr>
          <w:rFonts w:hint="eastAsia" w:ascii="宋体" w:hAnsi="宋体" w:eastAsia="宋体" w:cs="宋体"/>
          <w:u w:val="single"/>
        </w:rPr>
        <w:t>杀毒软件</w:t>
      </w:r>
      <w:r>
        <w:rPr>
          <w:rFonts w:hint="eastAsia" w:ascii="宋体" w:hAnsi="宋体" w:eastAsia="宋体" w:cs="宋体"/>
          <w:u w:val="single"/>
          <w:lang w:val="en-US" w:eastAsia="zh-CN"/>
        </w:rPr>
        <w:t>已经</w:t>
      </w:r>
      <w:r>
        <w:rPr>
          <w:rFonts w:hint="eastAsia" w:ascii="宋体" w:hAnsi="宋体" w:eastAsia="宋体" w:cs="宋体"/>
          <w:u w:val="single"/>
        </w:rPr>
        <w:t>到期，为保证院内网络安全，现需要购买杀毒软件升级运维服务。该升级运维服务包含院内现有物理终端和服务器杀毒软件的正常升级，每月度原厂认证工程师的安全巡检及每季度出</w:t>
      </w:r>
      <w:r>
        <w:rPr>
          <w:rFonts w:hint="eastAsia" w:ascii="宋体" w:hAnsi="宋体" w:eastAsia="宋体" w:cs="宋体"/>
          <w:u w:val="single"/>
          <w:lang w:val="en-US" w:eastAsia="zh-CN"/>
        </w:rPr>
        <w:t>具</w:t>
      </w:r>
      <w:r>
        <w:rPr>
          <w:rFonts w:hint="eastAsia" w:ascii="宋体" w:hAnsi="宋体" w:eastAsia="宋体" w:cs="宋体"/>
          <w:u w:val="single"/>
        </w:rPr>
        <w:t>巡检报告。此杀毒软件升级运维服务为期叁年，服务包含现有终端及叁年内新增终端。</w:t>
      </w:r>
      <w:r>
        <w:rPr>
          <w:rFonts w:hint="eastAsia" w:eastAsia="宋体" w:cs="宋体" w:asciiTheme="minorEastAsia" w:hAnsiTheme="minorEastAsia"/>
          <w:kern w:val="0"/>
          <w:sz w:val="21"/>
          <w:szCs w:val="21"/>
          <w:u w:val="single"/>
          <w:lang w:val="en-US" w:eastAsia="zh-CN"/>
        </w:rPr>
        <w:t xml:space="preserve">                                                          </w:t>
      </w:r>
    </w:p>
    <w:p w14:paraId="0022F7D0">
      <w:pPr>
        <w:keepNext w:val="0"/>
        <w:keepLines w:val="0"/>
        <w:pageBreakBefore w:val="0"/>
        <w:widowControl w:val="0"/>
        <w:numPr>
          <w:ilvl w:val="0"/>
          <w:numId w:val="1"/>
        </w:numPr>
        <w:kinsoku/>
        <w:wordWrap/>
        <w:overflowPunct/>
        <w:topLinePunct w:val="0"/>
        <w:autoSpaceDE/>
        <w:autoSpaceDN/>
        <w:bidi w:val="0"/>
        <w:adjustRightInd/>
        <w:snapToGrid/>
        <w:spacing w:line="420" w:lineRule="exact"/>
        <w:jc w:val="left"/>
        <w:textAlignment w:val="auto"/>
        <w:rPr>
          <w:rFonts w:hint="eastAsia" w:eastAsia="宋体" w:cs="宋体" w:asciiTheme="minorEastAsia" w:hAnsiTheme="minorEastAsia"/>
          <w:kern w:val="0"/>
          <w:sz w:val="21"/>
          <w:szCs w:val="21"/>
        </w:rPr>
      </w:pPr>
      <w:r>
        <w:rPr>
          <w:rFonts w:hint="eastAsia" w:eastAsia="宋体" w:cs="宋体" w:asciiTheme="minorEastAsia" w:hAnsiTheme="minorEastAsia"/>
          <w:kern w:val="0"/>
          <w:sz w:val="21"/>
          <w:szCs w:val="21"/>
          <w:u w:val="single"/>
        </w:rPr>
        <w:t xml:space="preserve">     拦标价：</w:t>
      </w:r>
      <w:r>
        <w:rPr>
          <w:rFonts w:hint="eastAsia" w:eastAsia="宋体" w:cs="宋体" w:asciiTheme="minorEastAsia" w:hAnsiTheme="minorEastAsia"/>
          <w:kern w:val="0"/>
          <w:sz w:val="21"/>
          <w:szCs w:val="21"/>
          <w:u w:val="single"/>
          <w:lang w:val="en-US" w:eastAsia="zh-CN"/>
        </w:rPr>
        <w:t>20</w:t>
      </w:r>
      <w:r>
        <w:rPr>
          <w:rFonts w:hint="eastAsia" w:eastAsia="宋体" w:cs="宋体" w:asciiTheme="minorEastAsia" w:hAnsiTheme="minorEastAsia"/>
          <w:kern w:val="0"/>
          <w:sz w:val="21"/>
          <w:szCs w:val="21"/>
          <w:u w:val="single"/>
        </w:rPr>
        <w:t xml:space="preserve">万                                </w:t>
      </w:r>
      <w:r>
        <w:rPr>
          <w:rFonts w:hint="eastAsia" w:eastAsia="宋体" w:cs="宋体" w:asciiTheme="minorEastAsia" w:hAnsiTheme="minorEastAsia"/>
          <w:kern w:val="0"/>
          <w:sz w:val="21"/>
          <w:szCs w:val="21"/>
          <w:u w:val="single"/>
          <w:lang w:val="en-US" w:eastAsia="zh-CN"/>
        </w:rPr>
        <w:t xml:space="preserve">                             </w:t>
      </w:r>
      <w:r>
        <w:rPr>
          <w:rFonts w:hint="eastAsia" w:eastAsia="宋体" w:cs="宋体" w:asciiTheme="minorEastAsia" w:hAnsiTheme="minorEastAsia"/>
          <w:kern w:val="0"/>
          <w:sz w:val="21"/>
          <w:szCs w:val="21"/>
          <w:u w:val="single"/>
        </w:rPr>
        <w:t xml:space="preserve">    </w:t>
      </w:r>
      <w:r>
        <w:rPr>
          <w:rFonts w:hint="eastAsia" w:eastAsia="宋体" w:cs="宋体" w:asciiTheme="minorEastAsia" w:hAnsiTheme="minorEastAsia"/>
          <w:kern w:val="0"/>
          <w:sz w:val="21"/>
          <w:szCs w:val="21"/>
        </w:rPr>
        <w:t xml:space="preserve">   </w:t>
      </w:r>
    </w:p>
    <w:p w14:paraId="5889982A">
      <w:pPr>
        <w:keepNext w:val="0"/>
        <w:keepLines w:val="0"/>
        <w:pageBreakBefore w:val="0"/>
        <w:widowControl w:val="0"/>
        <w:numPr>
          <w:ilvl w:val="0"/>
          <w:numId w:val="1"/>
        </w:numPr>
        <w:kinsoku/>
        <w:wordWrap/>
        <w:overflowPunct/>
        <w:topLinePunct w:val="0"/>
        <w:autoSpaceDE/>
        <w:autoSpaceDN/>
        <w:bidi w:val="0"/>
        <w:adjustRightInd/>
        <w:snapToGrid/>
        <w:spacing w:line="420" w:lineRule="exact"/>
        <w:jc w:val="left"/>
        <w:textAlignment w:val="auto"/>
        <w:rPr>
          <w:rFonts w:hint="eastAsia" w:eastAsia="宋体" w:cs="宋体" w:asciiTheme="minorEastAsia" w:hAnsiTheme="minorEastAsia"/>
          <w:kern w:val="0"/>
          <w:sz w:val="21"/>
          <w:szCs w:val="21"/>
          <w:u w:val="single"/>
        </w:rPr>
      </w:pPr>
      <w:r>
        <w:rPr>
          <w:rFonts w:hint="eastAsia" w:eastAsia="宋体" w:cs="宋体" w:asciiTheme="minorEastAsia" w:hAnsiTheme="minorEastAsia"/>
          <w:kern w:val="0"/>
          <w:sz w:val="21"/>
          <w:szCs w:val="21"/>
        </w:rPr>
        <w:t>拟挂网时间：</w:t>
      </w:r>
      <w:r>
        <w:rPr>
          <w:rFonts w:hint="eastAsia" w:eastAsia="宋体" w:cs="宋体" w:asciiTheme="minorEastAsia" w:hAnsiTheme="minorEastAsia"/>
          <w:kern w:val="0"/>
          <w:sz w:val="21"/>
          <w:szCs w:val="21"/>
          <w:u w:val="single"/>
        </w:rPr>
        <w:t xml:space="preserve">      </w:t>
      </w:r>
      <w:r>
        <w:rPr>
          <w:rFonts w:hint="eastAsia" w:eastAsia="宋体" w:cs="宋体" w:asciiTheme="minorEastAsia" w:hAnsiTheme="minorEastAsia"/>
          <w:kern w:val="0"/>
          <w:sz w:val="21"/>
          <w:szCs w:val="21"/>
          <w:u w:val="single"/>
          <w:lang w:val="en-US" w:eastAsia="zh-CN"/>
        </w:rPr>
        <w:t>1</w:t>
      </w:r>
      <w:r>
        <w:rPr>
          <w:rFonts w:hint="eastAsia" w:eastAsia="宋体" w:cs="宋体" w:asciiTheme="minorEastAsia" w:hAnsiTheme="minorEastAsia"/>
          <w:kern w:val="0"/>
          <w:sz w:val="21"/>
          <w:szCs w:val="21"/>
          <w:u w:val="single"/>
        </w:rPr>
        <w:t xml:space="preserve">天               </w:t>
      </w:r>
      <w:r>
        <w:rPr>
          <w:rFonts w:hint="eastAsia" w:eastAsia="宋体" w:cs="宋体" w:asciiTheme="minorEastAsia" w:hAnsiTheme="minorEastAsia"/>
          <w:kern w:val="0"/>
          <w:sz w:val="21"/>
          <w:szCs w:val="21"/>
          <w:u w:val="single"/>
          <w:lang w:val="en-US" w:eastAsia="zh-CN"/>
        </w:rPr>
        <w:t xml:space="preserve">                                      </w:t>
      </w:r>
      <w:r>
        <w:rPr>
          <w:rFonts w:hint="eastAsia" w:eastAsia="宋体" w:cs="宋体" w:asciiTheme="minorEastAsia" w:hAnsiTheme="minorEastAsia"/>
          <w:kern w:val="0"/>
          <w:sz w:val="21"/>
          <w:szCs w:val="21"/>
          <w:u w:val="single"/>
        </w:rPr>
        <w:t xml:space="preserve">         </w:t>
      </w:r>
    </w:p>
    <w:p w14:paraId="319F668A">
      <w:pPr>
        <w:keepNext w:val="0"/>
        <w:keepLines w:val="0"/>
        <w:pageBreakBefore w:val="0"/>
        <w:widowControl w:val="0"/>
        <w:numPr>
          <w:ilvl w:val="0"/>
          <w:numId w:val="1"/>
        </w:numPr>
        <w:kinsoku/>
        <w:wordWrap/>
        <w:overflowPunct/>
        <w:topLinePunct w:val="0"/>
        <w:autoSpaceDE/>
        <w:autoSpaceDN/>
        <w:bidi w:val="0"/>
        <w:adjustRightInd/>
        <w:snapToGrid/>
        <w:spacing w:line="420" w:lineRule="exact"/>
        <w:jc w:val="left"/>
        <w:textAlignment w:val="auto"/>
        <w:rPr>
          <w:rFonts w:hint="eastAsia" w:eastAsia="宋体" w:cs="宋体" w:asciiTheme="minorEastAsia" w:hAnsiTheme="minorEastAsia"/>
          <w:kern w:val="0"/>
          <w:sz w:val="21"/>
          <w:szCs w:val="21"/>
        </w:rPr>
      </w:pPr>
      <w:r>
        <w:rPr>
          <w:rFonts w:hint="eastAsia" w:eastAsia="宋体" w:cs="宋体" w:asciiTheme="minorEastAsia" w:hAnsiTheme="minorEastAsia"/>
          <w:kern w:val="0"/>
          <w:sz w:val="21"/>
          <w:szCs w:val="21"/>
        </w:rPr>
        <w:t>资质要求：</w:t>
      </w:r>
    </w:p>
    <w:p w14:paraId="4B2D97D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eastAsia="宋体" w:cs="宋体" w:asciiTheme="minorEastAsia" w:hAnsiTheme="minorEastAsia"/>
          <w:kern w:val="0"/>
          <w:sz w:val="21"/>
          <w:szCs w:val="21"/>
        </w:rPr>
      </w:pPr>
      <w:r>
        <w:rPr>
          <w:rFonts w:hint="eastAsia" w:eastAsia="宋体" w:cs="宋体" w:asciiTheme="minorEastAsia" w:hAnsiTheme="minorEastAsia"/>
          <w:kern w:val="0"/>
          <w:sz w:val="21"/>
          <w:szCs w:val="21"/>
        </w:rPr>
        <w:t>1</w:t>
      </w:r>
      <w:r>
        <w:rPr>
          <w:rFonts w:eastAsia="宋体" w:cs="宋体" w:asciiTheme="minorEastAsia" w:hAnsiTheme="minorEastAsia"/>
          <w:kern w:val="0"/>
          <w:sz w:val="21"/>
          <w:szCs w:val="21"/>
        </w:rPr>
        <w:t>、</w:t>
      </w:r>
      <w:r>
        <w:rPr>
          <w:rFonts w:hint="eastAsia" w:eastAsia="宋体" w:cs="宋体" w:asciiTheme="minorEastAsia" w:hAnsiTheme="minorEastAsia"/>
          <w:kern w:val="0"/>
          <w:sz w:val="21"/>
          <w:szCs w:val="21"/>
        </w:rPr>
        <w:t>参与竞价单位具备《中华人民共和国政府采购法》第二十二条规定的条件，具有独立法人资格，并持有有效的营业执照。</w:t>
      </w:r>
    </w:p>
    <w:p w14:paraId="2F271FE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eastAsia="宋体" w:cs="宋体" w:asciiTheme="minorEastAsia" w:hAnsiTheme="minorEastAsia"/>
          <w:color w:val="000000" w:themeColor="text1"/>
          <w:kern w:val="0"/>
          <w:sz w:val="21"/>
          <w:szCs w:val="21"/>
          <w14:textFill>
            <w14:solidFill>
              <w14:schemeClr w14:val="tx1"/>
            </w14:solidFill>
          </w14:textFill>
        </w:rPr>
      </w:pPr>
      <w:r>
        <w:rPr>
          <w:rFonts w:hint="eastAsia" w:eastAsia="宋体" w:cs="宋体" w:asciiTheme="minorEastAsia" w:hAnsiTheme="minorEastAsia"/>
          <w:kern w:val="0"/>
          <w:sz w:val="21"/>
          <w:szCs w:val="21"/>
        </w:rPr>
        <w:t>2、</w:t>
      </w:r>
      <w:r>
        <w:rPr>
          <w:rFonts w:hint="eastAsia" w:eastAsia="宋体" w:cs="宋体" w:asciiTheme="minorEastAsia" w:hAnsiTheme="minorEastAsia"/>
          <w:color w:val="000000" w:themeColor="text1"/>
          <w:kern w:val="0"/>
          <w:sz w:val="21"/>
          <w:szCs w:val="21"/>
          <w14:textFill>
            <w14:solidFill>
              <w14:schemeClr w14:val="tx1"/>
            </w14:solidFill>
          </w14:textFill>
        </w:rPr>
        <w:t>具有履行合同所必须的设备和专业技术能力。</w:t>
      </w:r>
    </w:p>
    <w:p w14:paraId="0AFF79A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eastAsia="宋体" w:cs="宋体" w:asciiTheme="minorEastAsia" w:hAnsiTheme="minorEastAsia"/>
          <w:color w:val="000000" w:themeColor="text1"/>
          <w:kern w:val="0"/>
          <w:sz w:val="21"/>
          <w:szCs w:val="21"/>
          <w14:textFill>
            <w14:solidFill>
              <w14:schemeClr w14:val="tx1"/>
            </w14:solidFill>
          </w14:textFill>
        </w:rPr>
      </w:pPr>
      <w:r>
        <w:rPr>
          <w:rFonts w:hint="eastAsia" w:eastAsia="宋体" w:cs="宋体" w:asciiTheme="minorEastAsia" w:hAnsiTheme="minorEastAsia"/>
          <w:color w:val="000000" w:themeColor="text1"/>
          <w:kern w:val="0"/>
          <w:sz w:val="21"/>
          <w:szCs w:val="21"/>
          <w14:textFill>
            <w14:solidFill>
              <w14:schemeClr w14:val="tx1"/>
            </w14:solidFill>
          </w14:textFill>
        </w:rPr>
        <w:t>3、对列入失信被执行人、重大税收</w:t>
      </w:r>
      <w:bookmarkStart w:id="0" w:name="_GoBack"/>
      <w:bookmarkEnd w:id="0"/>
      <w:r>
        <w:rPr>
          <w:rFonts w:hint="eastAsia" w:eastAsia="宋体" w:cs="宋体" w:asciiTheme="minorEastAsia" w:hAnsiTheme="minorEastAsia"/>
          <w:color w:val="000000" w:themeColor="text1"/>
          <w:kern w:val="0"/>
          <w:sz w:val="21"/>
          <w:szCs w:val="21"/>
          <w14:textFill>
            <w14:solidFill>
              <w14:schemeClr w14:val="tx1"/>
            </w14:solidFill>
          </w14:textFill>
        </w:rPr>
        <w:t>违法失信主体、政府采购严重违法失信行为记录名单的供应商，拒绝参与本项目，提供查询记录（“信用中国”及“中国政府采购网”查询记录）</w:t>
      </w:r>
    </w:p>
    <w:p w14:paraId="05EA868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sz w:val="21"/>
          <w:szCs w:val="21"/>
        </w:rPr>
      </w:pPr>
      <w:r>
        <w:rPr>
          <w:rFonts w:hint="eastAsia" w:eastAsia="宋体" w:cs="宋体" w:asciiTheme="minorEastAsia" w:hAnsiTheme="minorEastAsia"/>
          <w:color w:val="000000" w:themeColor="text1"/>
          <w:kern w:val="0"/>
          <w:sz w:val="21"/>
          <w:szCs w:val="21"/>
          <w14:textFill>
            <w14:solidFill>
              <w14:schemeClr w14:val="tx1"/>
            </w14:solidFill>
          </w14:textFill>
        </w:rPr>
        <w:t>4、</w:t>
      </w:r>
      <w:r>
        <w:rPr>
          <w:rFonts w:hint="eastAsia" w:asciiTheme="minorEastAsia" w:hAnsiTheme="minorEastAsia"/>
          <w:sz w:val="21"/>
          <w:szCs w:val="21"/>
        </w:rPr>
        <w:t>有投标意向的供应商需在竞价公告发出后，进行现场勘察，并向</w:t>
      </w:r>
      <w:r>
        <w:rPr>
          <w:rFonts w:hint="eastAsia" w:asciiTheme="minorEastAsia" w:hAnsiTheme="minorEastAsia"/>
          <w:sz w:val="21"/>
          <w:szCs w:val="21"/>
          <w:lang w:val="en-US" w:eastAsia="zh-CN"/>
        </w:rPr>
        <w:t>招标办</w:t>
      </w:r>
      <w:r>
        <w:rPr>
          <w:rFonts w:hint="eastAsia" w:asciiTheme="minorEastAsia" w:hAnsiTheme="minorEastAsia"/>
          <w:sz w:val="21"/>
          <w:szCs w:val="21"/>
        </w:rPr>
        <w:t>提交施工方案</w:t>
      </w:r>
      <w:r>
        <w:rPr>
          <w:rFonts w:hint="eastAsia" w:asciiTheme="minorEastAsia" w:hAnsiTheme="minorEastAsia"/>
          <w:sz w:val="21"/>
          <w:szCs w:val="21"/>
          <w:lang w:eastAsia="zh-CN"/>
        </w:rPr>
        <w:t>，</w:t>
      </w:r>
      <w:r>
        <w:rPr>
          <w:rFonts w:hint="eastAsia" w:asciiTheme="minorEastAsia" w:hAnsiTheme="minorEastAsia"/>
          <w:sz w:val="21"/>
          <w:szCs w:val="21"/>
          <w:lang w:val="en-US" w:eastAsia="zh-CN"/>
        </w:rPr>
        <w:t>方案包括实施方案、布局规划、报价、</w:t>
      </w:r>
      <w:r>
        <w:rPr>
          <w:rFonts w:hint="eastAsia" w:eastAsia="宋体" w:cs="宋体" w:asciiTheme="minorEastAsia" w:hAnsiTheme="minorEastAsia"/>
          <w:color w:val="000000" w:themeColor="text1"/>
          <w:kern w:val="0"/>
          <w:sz w:val="21"/>
          <w:szCs w:val="21"/>
          <w:lang w:val="en-US" w:eastAsia="zh-CN"/>
          <w14:textFill>
            <w14:solidFill>
              <w14:schemeClr w14:val="tx1"/>
            </w14:solidFill>
          </w14:textFill>
        </w:rPr>
        <w:t>项目经理资质、成功案例。</w:t>
      </w:r>
    </w:p>
    <w:p w14:paraId="7B04B14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eastAsia="宋体" w:cs="宋体"/>
          <w:color w:val="000000"/>
          <w:kern w:val="0"/>
          <w:sz w:val="21"/>
          <w:szCs w:val="21"/>
        </w:rPr>
      </w:pPr>
      <w:r>
        <w:rPr>
          <w:rFonts w:hint="eastAsia" w:asciiTheme="minorEastAsia" w:hAnsiTheme="minorEastAsia"/>
          <w:sz w:val="21"/>
          <w:szCs w:val="21"/>
          <w:lang w:val="en-US" w:eastAsia="zh-CN"/>
        </w:rPr>
        <w:t>5、</w:t>
      </w:r>
      <w:r>
        <w:rPr>
          <w:rFonts w:hint="eastAsia" w:ascii="宋体" w:hAnsi="宋体" w:eastAsia="宋体" w:cs="宋体"/>
          <w:color w:val="000000"/>
          <w:kern w:val="0"/>
          <w:sz w:val="21"/>
          <w:szCs w:val="21"/>
        </w:rPr>
        <w:t>对列入失信被执行人、重大税收违法失信主体、政府采购严重违法失信行为记录名单的供应商，拒绝参与本项目，提供查询记录（“信用中国”及“中国政府采购网”查询记录）</w:t>
      </w:r>
    </w:p>
    <w:p w14:paraId="1137F636">
      <w:pPr>
        <w:spacing w:line="360" w:lineRule="auto"/>
        <w:jc w:val="left"/>
        <w:rPr>
          <w:rFonts w:hint="eastAsia" w:eastAsia="宋体" w:cs="宋体" w:asciiTheme="minorEastAsia" w:hAnsiTheme="minorEastAsia"/>
          <w:kern w:val="0"/>
          <w:sz w:val="21"/>
          <w:szCs w:val="21"/>
        </w:rPr>
      </w:pPr>
      <w:r>
        <w:rPr>
          <w:rFonts w:hint="eastAsia" w:eastAsia="宋体" w:cs="宋体" w:asciiTheme="minorEastAsia" w:hAnsiTheme="minorEastAsia"/>
          <w:kern w:val="0"/>
          <w:sz w:val="21"/>
          <w:szCs w:val="21"/>
        </w:rPr>
        <w:t>五、项目具体技术要求</w:t>
      </w:r>
    </w:p>
    <w:tbl>
      <w:tblPr>
        <w:tblStyle w:val="9"/>
        <w:tblW w:w="9149" w:type="dxa"/>
        <w:tblInd w:w="-66" w:type="dxa"/>
        <w:tblLayout w:type="fixed"/>
        <w:tblCellMar>
          <w:top w:w="0" w:type="dxa"/>
          <w:left w:w="0" w:type="dxa"/>
          <w:bottom w:w="0" w:type="dxa"/>
          <w:right w:w="0" w:type="dxa"/>
        </w:tblCellMar>
      </w:tblPr>
      <w:tblGrid>
        <w:gridCol w:w="1200"/>
        <w:gridCol w:w="7949"/>
      </w:tblGrid>
      <w:tr w14:paraId="1ABE564B">
        <w:tblPrEx>
          <w:tblCellMar>
            <w:top w:w="0" w:type="dxa"/>
            <w:left w:w="0" w:type="dxa"/>
            <w:bottom w:w="0" w:type="dxa"/>
            <w:right w:w="0" w:type="dxa"/>
          </w:tblCellMar>
        </w:tblPrEx>
        <w:trPr>
          <w:trHeight w:val="348" w:hRule="atLeast"/>
        </w:trPr>
        <w:tc>
          <w:tcPr>
            <w:tcW w:w="1200"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C84B0E">
            <w:pPr>
              <w:widowControl/>
              <w:autoSpaceDE w:val="0"/>
              <w:autoSpaceDN w:val="0"/>
              <w:spacing w:before="100" w:beforeAutospacing="1" w:after="100" w:afterAutospacing="1" w:line="240" w:lineRule="auto"/>
              <w:jc w:val="center"/>
              <w:rPr>
                <w:rFonts w:hint="eastAsia" w:ascii="宋体" w:hAnsi="宋体" w:eastAsia="宋体" w:cs="宋体"/>
                <w:b/>
                <w:sz w:val="24"/>
                <w:szCs w:val="20"/>
                <w:lang w:val="zh-CN"/>
              </w:rPr>
            </w:pPr>
            <w:r>
              <w:rPr>
                <w:rFonts w:hint="eastAsia" w:ascii="宋体" w:hAnsi="宋体" w:eastAsia="宋体" w:cs="宋体"/>
                <w:b/>
                <w:sz w:val="24"/>
                <w:szCs w:val="20"/>
                <w:lang w:val="zh-CN"/>
              </w:rPr>
              <w:t>指标</w:t>
            </w:r>
          </w:p>
        </w:tc>
        <w:tc>
          <w:tcPr>
            <w:tcW w:w="7949"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14:paraId="5661737B">
            <w:pPr>
              <w:widowControl/>
              <w:autoSpaceDE w:val="0"/>
              <w:autoSpaceDN w:val="0"/>
              <w:spacing w:before="100" w:beforeAutospacing="1" w:after="100" w:afterAutospacing="1" w:line="240" w:lineRule="auto"/>
              <w:jc w:val="center"/>
              <w:rPr>
                <w:rFonts w:hint="eastAsia" w:ascii="宋体" w:hAnsi="宋体" w:eastAsia="宋体" w:cs="宋体"/>
                <w:b/>
                <w:sz w:val="24"/>
                <w:szCs w:val="20"/>
                <w:lang w:val="zh-CN"/>
              </w:rPr>
            </w:pPr>
            <w:r>
              <w:rPr>
                <w:rFonts w:hint="eastAsia" w:ascii="宋体" w:hAnsi="宋体" w:eastAsia="宋体" w:cs="宋体"/>
                <w:b/>
                <w:sz w:val="24"/>
                <w:szCs w:val="20"/>
                <w:lang w:val="zh-CN"/>
              </w:rPr>
              <w:t>参数要求</w:t>
            </w:r>
          </w:p>
        </w:tc>
      </w:tr>
      <w:tr w14:paraId="14AF5450">
        <w:tblPrEx>
          <w:tblCellMar>
            <w:top w:w="0" w:type="dxa"/>
            <w:left w:w="0" w:type="dxa"/>
            <w:bottom w:w="0" w:type="dxa"/>
            <w:right w:w="0" w:type="dxa"/>
          </w:tblCellMar>
        </w:tblPrEx>
        <w:trPr>
          <w:trHeight w:val="1919" w:hRule="atLeast"/>
        </w:trPr>
        <w:tc>
          <w:tcPr>
            <w:tcW w:w="1200" w:type="dxa"/>
            <w:tcBorders>
              <w:top w:val="nil"/>
              <w:left w:val="single" w:color="auto" w:sz="8" w:space="0"/>
              <w:bottom w:val="single" w:color="auto" w:sz="4" w:space="0"/>
              <w:right w:val="single" w:color="auto" w:sz="8" w:space="0"/>
            </w:tcBorders>
            <w:noWrap/>
            <w:tcMar>
              <w:top w:w="0" w:type="dxa"/>
              <w:left w:w="108" w:type="dxa"/>
              <w:bottom w:w="0" w:type="dxa"/>
              <w:right w:w="108" w:type="dxa"/>
            </w:tcMar>
            <w:vAlign w:val="center"/>
          </w:tcPr>
          <w:p w14:paraId="62F4055D">
            <w:pPr>
              <w:spacing w:line="240" w:lineRule="auto"/>
              <w:rPr>
                <w:rFonts w:hint="eastAsia" w:ascii="宋体" w:hAnsi="宋体" w:eastAsia="宋体" w:cs="宋体"/>
              </w:rPr>
            </w:pPr>
            <w:r>
              <w:rPr>
                <w:rFonts w:hint="eastAsia" w:ascii="宋体" w:hAnsi="宋体" w:eastAsia="宋体" w:cs="宋体"/>
              </w:rPr>
              <w:t>安装环境要求</w:t>
            </w:r>
          </w:p>
        </w:tc>
        <w:tc>
          <w:tcPr>
            <w:tcW w:w="7949" w:type="dxa"/>
            <w:tcBorders>
              <w:top w:val="nil"/>
              <w:left w:val="nil"/>
              <w:bottom w:val="single" w:color="auto" w:sz="4" w:space="0"/>
              <w:right w:val="single" w:color="auto" w:sz="8" w:space="0"/>
            </w:tcBorders>
            <w:noWrap/>
            <w:tcMar>
              <w:top w:w="0" w:type="dxa"/>
              <w:left w:w="108" w:type="dxa"/>
              <w:bottom w:w="0" w:type="dxa"/>
              <w:right w:w="108" w:type="dxa"/>
            </w:tcMar>
          </w:tcPr>
          <w:p w14:paraId="70537081">
            <w:pPr>
              <w:spacing w:line="240" w:lineRule="auto"/>
              <w:rPr>
                <w:rFonts w:hint="eastAsia" w:ascii="宋体" w:hAnsi="宋体" w:eastAsia="宋体" w:cs="宋体"/>
                <w:lang w:val="en-US" w:eastAsia="zh-CN"/>
              </w:rPr>
            </w:pPr>
            <w:r>
              <w:rPr>
                <w:rFonts w:hint="eastAsia" w:ascii="宋体" w:hAnsi="宋体" w:eastAsia="宋体" w:cs="宋体"/>
              </w:rPr>
              <w:t>工作站系统平台：Windows XP/Windows Vista/Windows 7/Windows 8/Windows 10（32位与64位）/Windows 1</w:t>
            </w:r>
            <w:r>
              <w:rPr>
                <w:rFonts w:hint="eastAsia" w:ascii="宋体" w:hAnsi="宋体" w:eastAsia="宋体" w:cs="宋体"/>
                <w:lang w:val="en-US" w:eastAsia="zh-CN"/>
              </w:rPr>
              <w:t>1</w:t>
            </w:r>
            <w:r>
              <w:rPr>
                <w:rFonts w:hint="eastAsia" w:ascii="宋体" w:hAnsi="宋体" w:eastAsia="宋体" w:cs="宋体"/>
              </w:rPr>
              <w:t>（32位与64位）</w:t>
            </w:r>
            <w:r>
              <w:rPr>
                <w:rFonts w:hint="eastAsia" w:ascii="宋体" w:hAnsi="宋体" w:eastAsia="宋体" w:cs="宋体"/>
                <w:lang w:val="en-US" w:eastAsia="zh-CN"/>
              </w:rPr>
              <w:t>/</w:t>
            </w:r>
            <w:r>
              <w:rPr>
                <w:rFonts w:hint="eastAsia" w:ascii="宋体" w:hAnsi="宋体" w:eastAsia="宋体" w:cs="宋体"/>
              </w:rPr>
              <w:t>MAC</w:t>
            </w:r>
            <w:r>
              <w:rPr>
                <w:rFonts w:hint="eastAsia" w:ascii="宋体" w:hAnsi="宋体" w:eastAsia="宋体" w:cs="宋体"/>
                <w:lang w:val="en-US" w:eastAsia="zh-CN"/>
              </w:rPr>
              <w:t xml:space="preserve"> /PDA(</w:t>
            </w:r>
            <w:r>
              <w:rPr>
                <w:rFonts w:hint="eastAsia" w:ascii="宋体" w:hAnsi="宋体" w:eastAsia="宋体" w:cs="宋体"/>
              </w:rPr>
              <w:t>Android</w:t>
            </w:r>
            <w:r>
              <w:rPr>
                <w:rFonts w:hint="eastAsia" w:ascii="宋体" w:hAnsi="宋体" w:eastAsia="宋体" w:cs="宋体"/>
                <w:lang w:val="en-US" w:eastAsia="zh-CN"/>
              </w:rPr>
              <w:t>)</w:t>
            </w:r>
          </w:p>
          <w:p w14:paraId="19F150D4">
            <w:pPr>
              <w:spacing w:line="240" w:lineRule="auto"/>
              <w:rPr>
                <w:rFonts w:hint="eastAsia" w:ascii="宋体" w:hAnsi="宋体" w:eastAsia="宋体" w:cs="宋体"/>
              </w:rPr>
            </w:pPr>
            <w:r>
              <w:rPr>
                <w:rFonts w:hint="eastAsia" w:ascii="宋体" w:hAnsi="宋体" w:eastAsia="宋体" w:cs="宋体"/>
              </w:rPr>
              <w:t>服务器系统平台:Windows Server 2003_SP2/Windows Server 2008/Windows Server 2008 R2/Windows Server 2012/Windows Server 2016/Windows Server 2019（64位）/Windows Server 20</w:t>
            </w:r>
            <w:r>
              <w:rPr>
                <w:rFonts w:hint="eastAsia" w:ascii="宋体" w:hAnsi="宋体" w:eastAsia="宋体" w:cs="宋体"/>
                <w:lang w:val="en-US" w:eastAsia="zh-CN"/>
              </w:rPr>
              <w:t>22</w:t>
            </w:r>
            <w:r>
              <w:rPr>
                <w:rFonts w:hint="eastAsia" w:ascii="宋体" w:hAnsi="宋体" w:eastAsia="宋体" w:cs="宋体"/>
              </w:rPr>
              <w:t>（64位）</w:t>
            </w:r>
          </w:p>
          <w:p w14:paraId="385ABC74">
            <w:pPr>
              <w:spacing w:line="240" w:lineRule="auto"/>
              <w:rPr>
                <w:rFonts w:hint="eastAsia" w:ascii="宋体" w:hAnsi="宋体" w:eastAsia="宋体" w:cs="宋体"/>
              </w:rPr>
            </w:pPr>
            <w:r>
              <w:rPr>
                <w:rFonts w:hint="eastAsia" w:ascii="宋体" w:hAnsi="宋体" w:eastAsia="宋体" w:cs="宋体"/>
              </w:rPr>
              <w:t>Linux系统平台</w:t>
            </w:r>
            <w:r>
              <w:rPr>
                <w:rFonts w:hint="eastAsia" w:ascii="宋体" w:hAnsi="宋体" w:eastAsia="宋体" w:cs="宋体"/>
                <w:lang w:eastAsia="zh-CN"/>
              </w:rPr>
              <w:t>：</w:t>
            </w:r>
            <w:r>
              <w:rPr>
                <w:rFonts w:hint="eastAsia" w:ascii="宋体" w:hAnsi="宋体" w:eastAsia="宋体" w:cs="宋体"/>
              </w:rPr>
              <w:t>SUSE Linux/Red Hat Linux/CentOS/Ubuntu/</w:t>
            </w:r>
            <w:r>
              <w:rPr>
                <w:rFonts w:hint="eastAsia" w:ascii="宋体" w:hAnsi="宋体" w:eastAsia="宋体" w:cs="宋体"/>
                <w:lang w:val="en-US" w:eastAsia="zh-CN"/>
              </w:rPr>
              <w:t>统信/openEuler/</w:t>
            </w:r>
            <w:r>
              <w:rPr>
                <w:rFonts w:hint="eastAsia" w:ascii="宋体" w:hAnsi="宋体" w:eastAsia="宋体" w:cs="宋体"/>
              </w:rPr>
              <w:t>中标麒麟Linux等</w:t>
            </w:r>
          </w:p>
        </w:tc>
      </w:tr>
      <w:tr w14:paraId="1A900D66">
        <w:tblPrEx>
          <w:tblCellMar>
            <w:top w:w="0" w:type="dxa"/>
            <w:left w:w="0" w:type="dxa"/>
            <w:bottom w:w="0" w:type="dxa"/>
            <w:right w:w="0" w:type="dxa"/>
          </w:tblCellMar>
        </w:tblPrEx>
        <w:trPr>
          <w:trHeight w:val="566" w:hRule="atLeast"/>
        </w:trPr>
        <w:tc>
          <w:tcPr>
            <w:tcW w:w="1200" w:type="dxa"/>
            <w:tcBorders>
              <w:top w:val="single" w:color="auto" w:sz="4"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A5B6CE">
            <w:pPr>
              <w:spacing w:line="240" w:lineRule="auto"/>
              <w:rPr>
                <w:rFonts w:hint="eastAsia" w:ascii="宋体" w:hAnsi="宋体" w:eastAsia="宋体" w:cs="宋体"/>
              </w:rPr>
            </w:pPr>
            <w:r>
              <w:rPr>
                <w:rFonts w:hint="eastAsia" w:ascii="宋体" w:hAnsi="宋体" w:eastAsia="宋体" w:cs="宋体"/>
              </w:rPr>
              <w:t>终端数量</w:t>
            </w:r>
          </w:p>
        </w:tc>
        <w:tc>
          <w:tcPr>
            <w:tcW w:w="7949" w:type="dxa"/>
            <w:tcBorders>
              <w:top w:val="single" w:color="auto" w:sz="4" w:space="0"/>
              <w:left w:val="nil"/>
              <w:bottom w:val="single" w:color="auto" w:sz="8" w:space="0"/>
              <w:right w:val="single" w:color="auto" w:sz="8" w:space="0"/>
            </w:tcBorders>
            <w:noWrap/>
            <w:tcMar>
              <w:top w:w="0" w:type="dxa"/>
              <w:left w:w="108" w:type="dxa"/>
              <w:bottom w:w="0" w:type="dxa"/>
              <w:right w:w="108" w:type="dxa"/>
            </w:tcMar>
          </w:tcPr>
          <w:p w14:paraId="72753021">
            <w:pPr>
              <w:spacing w:line="240" w:lineRule="auto"/>
              <w:rPr>
                <w:rFonts w:hint="eastAsia" w:ascii="宋体" w:hAnsi="宋体" w:eastAsia="宋体" w:cs="宋体"/>
              </w:rPr>
            </w:pPr>
            <w:r>
              <w:rPr>
                <w:rFonts w:hint="eastAsia" w:ascii="宋体" w:hAnsi="宋体" w:eastAsia="宋体" w:cs="宋体"/>
              </w:rPr>
              <w:t>满足现有</w:t>
            </w:r>
            <w:r>
              <w:rPr>
                <w:rFonts w:hint="eastAsia" w:ascii="宋体" w:hAnsi="宋体" w:eastAsia="宋体" w:cs="宋体"/>
                <w:lang w:val="en-US" w:eastAsia="zh-CN"/>
              </w:rPr>
              <w:t>内网所有</w:t>
            </w:r>
            <w:r>
              <w:rPr>
                <w:rFonts w:hint="eastAsia" w:ascii="宋体" w:hAnsi="宋体" w:eastAsia="宋体" w:cs="宋体"/>
              </w:rPr>
              <w:t>杀毒软件产品升级续费</w:t>
            </w:r>
            <w:r>
              <w:rPr>
                <w:rFonts w:hint="eastAsia" w:ascii="宋体" w:hAnsi="宋体" w:eastAsia="宋体" w:cs="宋体"/>
                <w:lang w:eastAsia="zh-CN"/>
              </w:rPr>
              <w:t>；</w:t>
            </w:r>
            <w:r>
              <w:rPr>
                <w:rFonts w:hint="eastAsia" w:ascii="宋体" w:hAnsi="宋体" w:eastAsia="宋体" w:cs="宋体"/>
              </w:rPr>
              <w:t>满足未来三年内</w:t>
            </w:r>
            <w:r>
              <w:rPr>
                <w:rFonts w:hint="eastAsia" w:ascii="宋体" w:hAnsi="宋体" w:eastAsia="宋体" w:cs="宋体"/>
                <w:lang w:val="en-US" w:eastAsia="zh-CN"/>
              </w:rPr>
              <w:t>内网</w:t>
            </w:r>
            <w:r>
              <w:rPr>
                <w:rFonts w:hint="eastAsia" w:ascii="宋体" w:hAnsi="宋体" w:eastAsia="宋体" w:cs="宋体"/>
              </w:rPr>
              <w:t>新增客户端杀毒软件的授权部署。</w:t>
            </w:r>
          </w:p>
        </w:tc>
      </w:tr>
      <w:tr w14:paraId="495AD37B">
        <w:tblPrEx>
          <w:tblCellMar>
            <w:top w:w="0" w:type="dxa"/>
            <w:left w:w="0" w:type="dxa"/>
            <w:bottom w:w="0" w:type="dxa"/>
            <w:right w:w="0" w:type="dxa"/>
          </w:tblCellMar>
        </w:tblPrEx>
        <w:trPr>
          <w:trHeight w:val="950" w:hRule="atLeast"/>
        </w:trPr>
        <w:tc>
          <w:tcPr>
            <w:tcW w:w="120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02D1AA">
            <w:pPr>
              <w:spacing w:line="240" w:lineRule="auto"/>
              <w:rPr>
                <w:rFonts w:hint="eastAsia" w:ascii="宋体" w:hAnsi="宋体" w:eastAsia="宋体" w:cs="宋体"/>
              </w:rPr>
            </w:pPr>
            <w:r>
              <w:rPr>
                <w:rFonts w:hint="eastAsia" w:ascii="宋体" w:hAnsi="宋体" w:eastAsia="宋体" w:cs="宋体"/>
              </w:rPr>
              <w:t>产品功能</w:t>
            </w:r>
          </w:p>
        </w:tc>
        <w:tc>
          <w:tcPr>
            <w:tcW w:w="7949" w:type="dxa"/>
            <w:tcBorders>
              <w:top w:val="nil"/>
              <w:left w:val="nil"/>
              <w:bottom w:val="single" w:color="auto" w:sz="8" w:space="0"/>
              <w:right w:val="single" w:color="auto" w:sz="8" w:space="0"/>
            </w:tcBorders>
            <w:noWrap/>
            <w:tcMar>
              <w:top w:w="0" w:type="dxa"/>
              <w:left w:w="108" w:type="dxa"/>
              <w:bottom w:w="0" w:type="dxa"/>
              <w:right w:w="108" w:type="dxa"/>
            </w:tcMar>
          </w:tcPr>
          <w:p w14:paraId="00E4CE0A">
            <w:pPr>
              <w:spacing w:line="240" w:lineRule="auto"/>
              <w:rPr>
                <w:rFonts w:hint="eastAsia" w:ascii="宋体" w:hAnsi="宋体" w:eastAsia="宋体" w:cs="宋体"/>
              </w:rPr>
            </w:pPr>
            <w:r>
              <w:rPr>
                <w:rFonts w:hint="eastAsia" w:ascii="宋体" w:hAnsi="宋体" w:eastAsia="宋体" w:cs="宋体"/>
              </w:rPr>
              <w:t>（1）我院现有</w:t>
            </w:r>
            <w:r>
              <w:rPr>
                <w:rFonts w:hint="eastAsia" w:ascii="宋体" w:hAnsi="宋体" w:eastAsia="宋体" w:cs="宋体"/>
                <w:lang w:val="en-US" w:eastAsia="zh-CN"/>
              </w:rPr>
              <w:t>内网</w:t>
            </w:r>
            <w:r>
              <w:rPr>
                <w:rFonts w:hint="eastAsia" w:ascii="宋体" w:hAnsi="宋体" w:eastAsia="宋体" w:cs="宋体"/>
              </w:rPr>
              <w:t>防病毒软件</w:t>
            </w:r>
            <w:r>
              <w:rPr>
                <w:rFonts w:hint="eastAsia" w:ascii="宋体" w:hAnsi="宋体" w:eastAsia="宋体" w:cs="宋体"/>
                <w:lang w:val="en-US" w:eastAsia="zh-CN"/>
              </w:rPr>
              <w:t>以及三年内新增客户端</w:t>
            </w:r>
            <w:r>
              <w:rPr>
                <w:rFonts w:hint="eastAsia" w:ascii="宋体" w:hAnsi="宋体" w:eastAsia="宋体" w:cs="宋体"/>
              </w:rPr>
              <w:t>的三年升级许可。</w:t>
            </w:r>
          </w:p>
          <w:p w14:paraId="338F1C43">
            <w:pPr>
              <w:spacing w:line="240" w:lineRule="auto"/>
              <w:rPr>
                <w:rFonts w:hint="eastAsia" w:ascii="宋体" w:hAnsi="宋体" w:eastAsia="宋体" w:cs="宋体"/>
              </w:rPr>
            </w:pPr>
            <w:r>
              <w:rPr>
                <w:rFonts w:hint="eastAsia" w:ascii="宋体" w:hAnsi="宋体" w:eastAsia="宋体" w:cs="宋体"/>
              </w:rPr>
              <w:t>（2）能够实时监控和清除来自各种途径的病毒、木马、广告软件、勒索病毒、恶意插件、隐蔽软件、黑客工具以及风险程序等。</w:t>
            </w:r>
          </w:p>
          <w:p w14:paraId="3D9BD83A">
            <w:pPr>
              <w:spacing w:line="240" w:lineRule="auto"/>
              <w:rPr>
                <w:rFonts w:hint="eastAsia" w:ascii="宋体" w:hAnsi="宋体" w:eastAsia="宋体" w:cs="宋体"/>
              </w:rPr>
            </w:pPr>
            <w:r>
              <w:rPr>
                <w:rFonts w:hint="eastAsia" w:ascii="宋体" w:hAnsi="宋体" w:eastAsia="宋体" w:cs="宋体"/>
              </w:rPr>
              <w:t>（2）防勒索病毒：具备防勒索病毒所需的主机防火墙、反网络攻击功能、反漏洞利用、防止共享加密等功能。可检测和抵御危险的网络活动和网络攻击，并自动将攻击源加入攻击列表，针对永恒之蓝等网络攻击型病毒，可查看和定位攻击源，便于管理员快速定位及时处理（提供产品功能截图证明）。</w:t>
            </w:r>
          </w:p>
          <w:p w14:paraId="017BF61C">
            <w:pPr>
              <w:spacing w:line="240" w:lineRule="auto"/>
              <w:rPr>
                <w:rFonts w:hint="eastAsia" w:ascii="宋体" w:hAnsi="宋体" w:eastAsia="宋体" w:cs="宋体"/>
              </w:rPr>
            </w:pPr>
            <w:r>
              <w:rPr>
                <w:rFonts w:hint="eastAsia" w:ascii="宋体" w:hAnsi="宋体" w:eastAsia="宋体" w:cs="宋体"/>
              </w:rPr>
              <w:t>（3）</w:t>
            </w:r>
            <w:r>
              <w:rPr>
                <w:rFonts w:hint="eastAsia" w:ascii="宋体" w:hAnsi="宋体" w:eastAsia="宋体" w:cs="宋体"/>
                <w:szCs w:val="21"/>
              </w:rPr>
              <w:t>对威胁的发展进行审查和分析，并向安全员或管理员提供有关潜在攻击的信息，以便及时响应威胁。通过记录终端与网络事件（大量端点级系统的行为与相关事件，譬如用户、文件、进程、注册表、内存和网络事件），结合已知的入侵指标 (Indicators of Compromise，IOC)、行为分析和机器学习技术来监测任何可能的安全问题，识别信息泄露（包括内部威胁）的风险，并对这些安全威胁做出快速响应。</w:t>
            </w:r>
          </w:p>
        </w:tc>
      </w:tr>
      <w:tr w14:paraId="1D85E587">
        <w:tblPrEx>
          <w:tblCellMar>
            <w:top w:w="0" w:type="dxa"/>
            <w:left w:w="0" w:type="dxa"/>
            <w:bottom w:w="0" w:type="dxa"/>
            <w:right w:w="0" w:type="dxa"/>
          </w:tblCellMar>
        </w:tblPrEx>
        <w:trPr>
          <w:trHeight w:val="950" w:hRule="atLeast"/>
        </w:trPr>
        <w:tc>
          <w:tcPr>
            <w:tcW w:w="120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B8D4A6">
            <w:pPr>
              <w:spacing w:line="240" w:lineRule="auto"/>
              <w:rPr>
                <w:rFonts w:hint="eastAsia" w:ascii="宋体" w:hAnsi="宋体" w:eastAsia="宋体" w:cs="宋体"/>
              </w:rPr>
            </w:pPr>
            <w:r>
              <w:rPr>
                <w:rFonts w:hint="eastAsia" w:ascii="宋体" w:hAnsi="宋体" w:eastAsia="宋体" w:cs="宋体"/>
              </w:rPr>
              <w:t>服务要求</w:t>
            </w:r>
          </w:p>
        </w:tc>
        <w:tc>
          <w:tcPr>
            <w:tcW w:w="7949" w:type="dxa"/>
            <w:tcBorders>
              <w:top w:val="nil"/>
              <w:left w:val="nil"/>
              <w:bottom w:val="single" w:color="auto" w:sz="8" w:space="0"/>
              <w:right w:val="single" w:color="auto" w:sz="8" w:space="0"/>
            </w:tcBorders>
            <w:noWrap/>
            <w:tcMar>
              <w:top w:w="0" w:type="dxa"/>
              <w:left w:w="108" w:type="dxa"/>
              <w:bottom w:w="0" w:type="dxa"/>
              <w:right w:w="108" w:type="dxa"/>
            </w:tcMar>
          </w:tcPr>
          <w:p w14:paraId="6440326F">
            <w:pPr>
              <w:numPr>
                <w:ilvl w:val="0"/>
                <w:numId w:val="2"/>
              </w:numPr>
              <w:spacing w:line="240" w:lineRule="auto"/>
              <w:rPr>
                <w:rFonts w:hint="eastAsia" w:ascii="宋体" w:hAnsi="宋体" w:eastAsia="宋体" w:cs="宋体"/>
              </w:rPr>
            </w:pPr>
            <w:r>
              <w:rPr>
                <w:rFonts w:hint="eastAsia" w:ascii="宋体" w:hAnsi="宋体" w:eastAsia="宋体" w:cs="宋体"/>
              </w:rPr>
              <w:t>日常运维，服务方应提供全年不少于12次的上门巡检，检查防病毒情况，及时发现可能的攻击或安全隐患。</w:t>
            </w:r>
          </w:p>
          <w:p w14:paraId="7575EBF7">
            <w:pPr>
              <w:numPr>
                <w:ilvl w:val="0"/>
                <w:numId w:val="2"/>
              </w:numPr>
              <w:spacing w:line="240" w:lineRule="auto"/>
              <w:rPr>
                <w:rFonts w:hint="eastAsia" w:ascii="宋体" w:hAnsi="宋体" w:eastAsia="宋体" w:cs="宋体"/>
              </w:rPr>
            </w:pPr>
            <w:r>
              <w:rPr>
                <w:rFonts w:hint="eastAsia" w:ascii="宋体" w:hAnsi="宋体" w:eastAsia="宋体" w:cs="宋体"/>
              </w:rPr>
              <w:t>高级巡检。每季度生成一次防病毒报告，每年生成一次年终报告。总结病毒情况，提出整改意见。</w:t>
            </w:r>
          </w:p>
          <w:p w14:paraId="5A0F0A60">
            <w:pPr>
              <w:numPr>
                <w:ilvl w:val="0"/>
                <w:numId w:val="2"/>
              </w:numPr>
              <w:spacing w:line="240" w:lineRule="auto"/>
              <w:rPr>
                <w:rFonts w:hint="eastAsia" w:ascii="宋体" w:hAnsi="宋体" w:eastAsia="宋体" w:cs="宋体"/>
              </w:rPr>
            </w:pPr>
            <w:r>
              <w:rPr>
                <w:rFonts w:hint="eastAsia" w:ascii="宋体" w:hAnsi="宋体" w:eastAsia="宋体" w:cs="宋体"/>
              </w:rPr>
              <w:t>应急响应。根据我院情况，为我院制定病毒事件的应急预案，若出现重大病毒事件时提示应急响应支持。</w:t>
            </w:r>
          </w:p>
          <w:p w14:paraId="342A7798">
            <w:pPr>
              <w:numPr>
                <w:ilvl w:val="0"/>
                <w:numId w:val="2"/>
              </w:numPr>
              <w:spacing w:line="240" w:lineRule="auto"/>
              <w:rPr>
                <w:rFonts w:hint="eastAsia" w:ascii="宋体" w:hAnsi="宋体" w:eastAsia="宋体" w:cs="宋体"/>
              </w:rPr>
            </w:pPr>
            <w:r>
              <w:rPr>
                <w:rFonts w:hint="eastAsia" w:ascii="宋体" w:hAnsi="宋体" w:eastAsia="宋体" w:cs="宋体"/>
              </w:rPr>
              <w:t>主机加固服务。结合我院业务情况为我院主要服务器提供加固服务。</w:t>
            </w:r>
          </w:p>
          <w:p w14:paraId="1BE77AD6">
            <w:pPr>
              <w:numPr>
                <w:ilvl w:val="0"/>
                <w:numId w:val="2"/>
              </w:numPr>
              <w:spacing w:line="240" w:lineRule="auto"/>
              <w:rPr>
                <w:rFonts w:hint="eastAsia" w:ascii="宋体" w:hAnsi="宋体" w:eastAsia="宋体" w:cs="宋体"/>
              </w:rPr>
            </w:pPr>
            <w:r>
              <w:rPr>
                <w:rFonts w:hint="eastAsia" w:ascii="宋体" w:hAnsi="宋体" w:eastAsia="宋体" w:cs="宋体"/>
              </w:rPr>
              <w:t>人员培训服务。为我院</w:t>
            </w:r>
            <w:r>
              <w:rPr>
                <w:rFonts w:hint="eastAsia" w:ascii="宋体" w:hAnsi="宋体" w:eastAsia="宋体" w:cs="宋体"/>
                <w:lang w:val="en-US" w:eastAsia="zh-CN"/>
              </w:rPr>
              <w:t>提供</w:t>
            </w:r>
            <w:r>
              <w:rPr>
                <w:rFonts w:hint="eastAsia" w:ascii="宋体" w:hAnsi="宋体" w:eastAsia="宋体" w:cs="宋体"/>
              </w:rPr>
              <w:t>不少于一次的全员安全意识培训。</w:t>
            </w:r>
          </w:p>
        </w:tc>
      </w:tr>
      <w:tr w14:paraId="20C5B455">
        <w:tblPrEx>
          <w:tblCellMar>
            <w:top w:w="0" w:type="dxa"/>
            <w:left w:w="0" w:type="dxa"/>
            <w:bottom w:w="0" w:type="dxa"/>
            <w:right w:w="0" w:type="dxa"/>
          </w:tblCellMar>
        </w:tblPrEx>
        <w:trPr>
          <w:trHeight w:val="950" w:hRule="atLeast"/>
        </w:trPr>
        <w:tc>
          <w:tcPr>
            <w:tcW w:w="120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0A6109">
            <w:pPr>
              <w:spacing w:line="240" w:lineRule="auto"/>
              <w:rPr>
                <w:rFonts w:hint="eastAsia" w:ascii="宋体" w:hAnsi="宋体" w:eastAsia="宋体" w:cs="宋体"/>
              </w:rPr>
            </w:pPr>
            <w:r>
              <w:rPr>
                <w:rFonts w:hint="eastAsia" w:ascii="宋体" w:hAnsi="宋体" w:eastAsia="宋体" w:cs="宋体"/>
              </w:rPr>
              <w:t>资质要求</w:t>
            </w:r>
          </w:p>
        </w:tc>
        <w:tc>
          <w:tcPr>
            <w:tcW w:w="7949" w:type="dxa"/>
            <w:tcBorders>
              <w:top w:val="nil"/>
              <w:left w:val="nil"/>
              <w:bottom w:val="single" w:color="auto" w:sz="8" w:space="0"/>
              <w:right w:val="single" w:color="auto" w:sz="8" w:space="0"/>
            </w:tcBorders>
            <w:noWrap/>
            <w:tcMar>
              <w:top w:w="0" w:type="dxa"/>
              <w:left w:w="108" w:type="dxa"/>
              <w:bottom w:w="0" w:type="dxa"/>
              <w:right w:w="108" w:type="dxa"/>
            </w:tcMar>
          </w:tcPr>
          <w:p w14:paraId="5D7D1560">
            <w:pPr>
              <w:numPr>
                <w:ilvl w:val="0"/>
                <w:numId w:val="3"/>
              </w:numPr>
              <w:spacing w:line="240" w:lineRule="auto"/>
              <w:rPr>
                <w:rFonts w:hint="eastAsia" w:ascii="宋体" w:hAnsi="宋体" w:eastAsia="宋体" w:cs="宋体"/>
              </w:rPr>
            </w:pPr>
            <w:r>
              <w:rPr>
                <w:rFonts w:hint="eastAsia" w:ascii="宋体" w:hAnsi="宋体" w:eastAsia="宋体" w:cs="宋体"/>
              </w:rPr>
              <w:t>熟悉我院网络环境和业务流程。</w:t>
            </w:r>
          </w:p>
          <w:p w14:paraId="3CB11742">
            <w:pPr>
              <w:numPr>
                <w:ilvl w:val="0"/>
                <w:numId w:val="3"/>
              </w:numPr>
              <w:spacing w:line="240" w:lineRule="auto"/>
              <w:rPr>
                <w:rFonts w:hint="eastAsia" w:ascii="宋体" w:hAnsi="宋体" w:eastAsia="宋体" w:cs="宋体"/>
              </w:rPr>
            </w:pPr>
            <w:r>
              <w:rPr>
                <w:rFonts w:hint="eastAsia" w:ascii="宋体" w:hAnsi="宋体" w:eastAsia="宋体" w:cs="宋体"/>
              </w:rPr>
              <w:t>具有不少于</w:t>
            </w:r>
            <w:r>
              <w:rPr>
                <w:rFonts w:hint="eastAsia" w:ascii="宋体" w:hAnsi="宋体" w:eastAsia="宋体" w:cs="宋体"/>
                <w:lang w:val="en-US" w:eastAsia="zh-CN"/>
              </w:rPr>
              <w:t>1</w:t>
            </w:r>
            <w:r>
              <w:rPr>
                <w:rFonts w:hint="eastAsia" w:ascii="宋体" w:hAnsi="宋体" w:eastAsia="宋体" w:cs="宋体"/>
              </w:rPr>
              <w:t>名防病毒软件原厂认证工程师。</w:t>
            </w:r>
          </w:p>
          <w:p w14:paraId="2386787E">
            <w:pPr>
              <w:numPr>
                <w:ilvl w:val="0"/>
                <w:numId w:val="3"/>
              </w:numPr>
              <w:spacing w:line="240" w:lineRule="auto"/>
              <w:rPr>
                <w:rFonts w:hint="eastAsia" w:ascii="宋体" w:hAnsi="宋体" w:eastAsia="宋体" w:cs="宋体"/>
              </w:rPr>
            </w:pPr>
            <w:r>
              <w:rPr>
                <w:rFonts w:hint="eastAsia" w:ascii="宋体" w:hAnsi="宋体" w:eastAsia="宋体" w:cs="宋体"/>
              </w:rPr>
              <w:t>具有不少于</w:t>
            </w:r>
            <w:r>
              <w:rPr>
                <w:rFonts w:hint="eastAsia" w:ascii="宋体" w:hAnsi="宋体" w:eastAsia="宋体" w:cs="宋体"/>
                <w:lang w:val="en-US" w:eastAsia="zh-CN"/>
              </w:rPr>
              <w:t>1</w:t>
            </w:r>
            <w:r>
              <w:rPr>
                <w:rFonts w:hint="eastAsia" w:ascii="宋体" w:hAnsi="宋体" w:eastAsia="宋体" w:cs="宋体"/>
              </w:rPr>
              <w:t>名CISAW认证安全运维工程师。</w:t>
            </w:r>
          </w:p>
          <w:p w14:paraId="6B6A8A12">
            <w:pPr>
              <w:numPr>
                <w:ilvl w:val="0"/>
                <w:numId w:val="3"/>
              </w:numPr>
              <w:spacing w:line="240" w:lineRule="auto"/>
              <w:rPr>
                <w:rFonts w:hint="eastAsia" w:ascii="宋体" w:hAnsi="宋体" w:eastAsia="宋体" w:cs="宋体"/>
              </w:rPr>
            </w:pPr>
            <w:r>
              <w:rPr>
                <w:rFonts w:hint="eastAsia" w:ascii="宋体" w:hAnsi="宋体" w:eastAsia="宋体" w:cs="宋体"/>
              </w:rPr>
              <w:t>具有不少于</w:t>
            </w:r>
            <w:r>
              <w:rPr>
                <w:rFonts w:hint="eastAsia" w:ascii="宋体" w:hAnsi="宋体" w:eastAsia="宋体" w:cs="宋体"/>
                <w:lang w:val="en-US" w:eastAsia="zh-CN"/>
              </w:rPr>
              <w:t>1</w:t>
            </w:r>
            <w:r>
              <w:rPr>
                <w:rFonts w:hint="eastAsia" w:ascii="宋体" w:hAnsi="宋体" w:eastAsia="宋体" w:cs="宋体"/>
              </w:rPr>
              <w:t>名CISAW认证应急响应工程师。</w:t>
            </w:r>
          </w:p>
          <w:p w14:paraId="49B48E4F">
            <w:pPr>
              <w:numPr>
                <w:ilvl w:val="0"/>
                <w:numId w:val="3"/>
              </w:numPr>
              <w:spacing w:line="240" w:lineRule="auto"/>
              <w:rPr>
                <w:rFonts w:hint="eastAsia" w:ascii="宋体" w:hAnsi="宋体" w:eastAsia="宋体" w:cs="宋体"/>
              </w:rPr>
            </w:pPr>
            <w:r>
              <w:rPr>
                <w:rFonts w:hint="eastAsia" w:ascii="宋体" w:hAnsi="宋体" w:eastAsia="宋体" w:cs="宋体"/>
              </w:rPr>
              <w:t>具有CISP工程师或CISP讲师</w:t>
            </w:r>
            <w:r>
              <w:rPr>
                <w:rFonts w:hint="eastAsia" w:ascii="宋体" w:hAnsi="宋体" w:eastAsia="宋体" w:cs="宋体"/>
                <w:lang w:eastAsia="zh-CN"/>
              </w:rPr>
              <w:t>。</w:t>
            </w:r>
          </w:p>
        </w:tc>
      </w:tr>
    </w:tbl>
    <w:p w14:paraId="308CCBBC">
      <w:pPr>
        <w:pStyle w:val="7"/>
        <w:numPr>
          <w:ilvl w:val="0"/>
          <w:numId w:val="4"/>
        </w:numPr>
        <w:shd w:val="clear" w:color="auto" w:fill="FFFFFF"/>
        <w:spacing w:before="0" w:beforeAutospacing="0" w:after="0" w:afterAutospacing="0" w:line="480" w:lineRule="exact"/>
        <w:jc w:val="both"/>
        <w:rPr>
          <w:rFonts w:hint="eastAsia" w:asciiTheme="minorEastAsia" w:hAnsiTheme="minorEastAsia"/>
          <w:sz w:val="21"/>
          <w:szCs w:val="21"/>
        </w:rPr>
      </w:pPr>
      <w:r>
        <w:rPr>
          <w:rFonts w:hint="eastAsia" w:asciiTheme="minorEastAsia" w:hAnsiTheme="minorEastAsia"/>
          <w:sz w:val="21"/>
          <w:szCs w:val="21"/>
        </w:rPr>
        <w:t>商务要求</w:t>
      </w:r>
    </w:p>
    <w:p w14:paraId="38E564B2">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color w:val="000000" w:themeColor="text1"/>
          <w:sz w:val="21"/>
          <w:szCs w:val="21"/>
          <w:lang w:val="en-US" w:eastAsia="zh-CN"/>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现场勘察后按照以上集成要求提供项目实施方案，方案至少包含报价、专业技术人员相关资质证件、≥三份三甲医院杀毒软件项目成功案例合同、实施方案等。</w:t>
      </w:r>
    </w:p>
    <w:p w14:paraId="139B54A9">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sz w:val="21"/>
          <w:szCs w:val="21"/>
        </w:rPr>
      </w:pPr>
      <w:r>
        <w:rPr>
          <w:rFonts w:hint="eastAsia" w:asciiTheme="minorEastAsia" w:hAnsiTheme="minorEastAsia"/>
          <w:sz w:val="21"/>
          <w:szCs w:val="21"/>
        </w:rPr>
        <w:t>交货期：</w:t>
      </w:r>
      <w:r>
        <w:rPr>
          <w:rFonts w:hint="eastAsia" w:asciiTheme="minorEastAsia" w:hAnsiTheme="minorEastAsia"/>
          <w:sz w:val="21"/>
          <w:szCs w:val="21"/>
          <w:lang w:val="en-US" w:eastAsia="zh-CN"/>
        </w:rPr>
        <w:t>1周</w:t>
      </w:r>
    </w:p>
    <w:p w14:paraId="490B8AA5">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sz w:val="21"/>
          <w:szCs w:val="21"/>
        </w:rPr>
      </w:pPr>
      <w:r>
        <w:rPr>
          <w:rFonts w:hint="eastAsia" w:asciiTheme="minorEastAsia" w:hAnsiTheme="minorEastAsia"/>
          <w:sz w:val="21"/>
          <w:szCs w:val="21"/>
        </w:rPr>
        <w:t>交货地点：驻马店市中医院。</w:t>
      </w:r>
    </w:p>
    <w:p w14:paraId="4DB5EB18">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sz w:val="21"/>
          <w:szCs w:val="21"/>
        </w:rPr>
        <w:t>付款条件、时间及比例：</w:t>
      </w:r>
      <w:r>
        <w:rPr>
          <w:rFonts w:hint="eastAsia" w:asciiTheme="minorEastAsia" w:hAnsiTheme="minorEastAsia"/>
          <w:sz w:val="21"/>
          <w:szCs w:val="21"/>
          <w:lang w:val="en-US" w:eastAsia="zh-CN"/>
        </w:rPr>
        <w:t>项目人员进</w:t>
      </w:r>
      <w:r>
        <w:rPr>
          <w:rFonts w:hint="eastAsia" w:asciiTheme="minorEastAsia" w:hAnsiTheme="minorEastAsia"/>
          <w:sz w:val="21"/>
          <w:szCs w:val="21"/>
        </w:rPr>
        <w:t>现场</w:t>
      </w:r>
      <w:r>
        <w:rPr>
          <w:rFonts w:hint="eastAsia" w:asciiTheme="minorEastAsia" w:hAnsiTheme="minorEastAsia"/>
          <w:sz w:val="21"/>
          <w:szCs w:val="21"/>
          <w:lang w:val="en-US" w:eastAsia="zh-CN"/>
        </w:rPr>
        <w:t>货物验货确认</w:t>
      </w:r>
      <w:r>
        <w:rPr>
          <w:rFonts w:hint="eastAsia" w:asciiTheme="minorEastAsia" w:hAnsiTheme="minorEastAsia"/>
          <w:sz w:val="21"/>
          <w:szCs w:val="21"/>
        </w:rPr>
        <w:t>后，甲方向乙方支付合同总金额的30%；</w:t>
      </w:r>
      <w:r>
        <w:rPr>
          <w:rFonts w:hint="eastAsia" w:ascii="宋体" w:hAnsi="宋体" w:eastAsia="宋体" w:cs="宋体"/>
          <w:kern w:val="0"/>
          <w:sz w:val="21"/>
          <w:szCs w:val="21"/>
          <w:lang w:val="en-US" w:eastAsia="zh-CN"/>
        </w:rPr>
        <w:t>设备试运行一个月，正常运行</w:t>
      </w:r>
      <w:r>
        <w:rPr>
          <w:rFonts w:hint="eastAsia" w:ascii="宋体" w:hAnsi="宋体" w:cs="宋体"/>
          <w:kern w:val="0"/>
          <w:sz w:val="21"/>
          <w:szCs w:val="21"/>
          <w:lang w:val="en-US" w:eastAsia="zh-CN"/>
        </w:rPr>
        <w:t>并验收合格后</w:t>
      </w:r>
      <w:r>
        <w:rPr>
          <w:rFonts w:hint="eastAsia" w:ascii="宋体" w:hAnsi="宋体" w:eastAsia="宋体" w:cs="宋体"/>
          <w:kern w:val="0"/>
          <w:sz w:val="21"/>
          <w:szCs w:val="21"/>
        </w:rPr>
        <w:t>，甲方向乙方支付</w:t>
      </w:r>
      <w:r>
        <w:rPr>
          <w:rFonts w:hint="eastAsia" w:ascii="宋体" w:hAnsi="宋体" w:cs="宋体"/>
          <w:kern w:val="0"/>
          <w:sz w:val="21"/>
          <w:szCs w:val="21"/>
          <w:lang w:val="en-US" w:eastAsia="zh-CN"/>
        </w:rPr>
        <w:t>合同款40</w:t>
      </w:r>
      <w:r>
        <w:rPr>
          <w:rFonts w:hint="eastAsia" w:ascii="宋体" w:hAnsi="宋体" w:eastAsia="宋体" w:cs="宋体"/>
          <w:kern w:val="0"/>
          <w:sz w:val="21"/>
          <w:szCs w:val="21"/>
        </w:rPr>
        <w:t>%；</w:t>
      </w:r>
      <w:r>
        <w:rPr>
          <w:rFonts w:hint="eastAsia" w:cs="宋体"/>
          <w:kern w:val="0"/>
          <w:sz w:val="21"/>
          <w:szCs w:val="21"/>
          <w:lang w:val="en-US" w:eastAsia="zh-CN"/>
        </w:rPr>
        <w:t>验收</w:t>
      </w:r>
      <w:r>
        <w:rPr>
          <w:rFonts w:hint="eastAsia" w:ascii="宋体" w:hAnsi="宋体" w:eastAsia="宋体" w:cs="宋体"/>
          <w:kern w:val="0"/>
          <w:sz w:val="21"/>
          <w:szCs w:val="21"/>
          <w:lang w:val="en-US" w:eastAsia="zh-CN"/>
        </w:rPr>
        <w:t>一年后支付</w:t>
      </w:r>
      <w:r>
        <w:rPr>
          <w:rFonts w:hint="eastAsia" w:ascii="宋体" w:hAnsi="宋体" w:cs="宋体"/>
          <w:kern w:val="0"/>
          <w:sz w:val="21"/>
          <w:szCs w:val="21"/>
          <w:lang w:val="en-US" w:eastAsia="zh-CN"/>
        </w:rPr>
        <w:t>合同款</w:t>
      </w:r>
      <w:r>
        <w:rPr>
          <w:rFonts w:hint="eastAsia" w:ascii="宋体" w:hAnsi="宋体" w:eastAsia="宋体" w:cs="宋体"/>
          <w:kern w:val="0"/>
          <w:sz w:val="21"/>
          <w:szCs w:val="21"/>
          <w:lang w:val="en-US" w:eastAsia="zh-CN"/>
        </w:rPr>
        <w:t>的2</w:t>
      </w:r>
      <w:r>
        <w:rPr>
          <w:rFonts w:hint="eastAsia" w:ascii="宋体" w:hAnsi="宋体" w:eastAsia="宋体" w:cs="宋体"/>
          <w:kern w:val="0"/>
          <w:sz w:val="21"/>
          <w:szCs w:val="21"/>
        </w:rPr>
        <w:t>0%</w:t>
      </w:r>
      <w:r>
        <w:rPr>
          <w:rFonts w:hint="eastAsia" w:ascii="宋体" w:hAnsi="宋体" w:eastAsia="宋体" w:cs="宋体"/>
          <w:kern w:val="0"/>
          <w:sz w:val="21"/>
          <w:szCs w:val="21"/>
          <w:lang w:eastAsia="zh-CN"/>
        </w:rPr>
        <w:t>，</w:t>
      </w:r>
      <w:r>
        <w:rPr>
          <w:rFonts w:hint="eastAsia" w:cs="宋体"/>
          <w:kern w:val="0"/>
          <w:sz w:val="21"/>
          <w:szCs w:val="21"/>
          <w:lang w:val="en-US" w:eastAsia="zh-CN"/>
        </w:rPr>
        <w:t>验收</w:t>
      </w:r>
      <w:r>
        <w:rPr>
          <w:rFonts w:hint="eastAsia" w:ascii="宋体" w:hAnsi="宋体" w:eastAsia="宋体" w:cs="宋体"/>
          <w:kern w:val="0"/>
          <w:sz w:val="21"/>
          <w:szCs w:val="21"/>
          <w:lang w:val="en-US" w:eastAsia="zh-CN"/>
        </w:rPr>
        <w:t>三年后付10%。</w:t>
      </w:r>
    </w:p>
    <w:p w14:paraId="61F8FB4A">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服务期限：验收后三年免费质保</w:t>
      </w:r>
      <w:r>
        <w:rPr>
          <w:rFonts w:hint="eastAsia" w:asciiTheme="minorEastAsia" w:hAnsiTheme="minorEastAsia"/>
          <w:color w:val="000000" w:themeColor="text1"/>
          <w:sz w:val="21"/>
          <w:szCs w:val="21"/>
          <w:lang w:eastAsia="zh-CN"/>
          <w14:textFill>
            <w14:solidFill>
              <w14:schemeClr w14:val="tx1"/>
            </w14:solidFill>
          </w14:textFill>
        </w:rPr>
        <w:t>。</w:t>
      </w:r>
    </w:p>
    <w:p w14:paraId="27CD3959">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指派经验丰富项目经理实施。</w:t>
      </w:r>
    </w:p>
    <w:p w14:paraId="071DE1A7">
      <w:pPr>
        <w:pStyle w:val="7"/>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本项目为交钥匙工程，具体以实际勘察结果提交</w:t>
      </w:r>
      <w:r>
        <w:rPr>
          <w:rFonts w:hint="eastAsia" w:asciiTheme="minorEastAsia" w:hAnsiTheme="minorEastAsia"/>
          <w:color w:val="000000" w:themeColor="text1"/>
          <w:sz w:val="21"/>
          <w:szCs w:val="21"/>
          <w:lang w:val="en-US" w:eastAsia="zh-CN"/>
          <w14:textFill>
            <w14:solidFill>
              <w14:schemeClr w14:val="tx1"/>
            </w14:solidFill>
          </w14:textFill>
        </w:rPr>
        <w:t>实施</w:t>
      </w:r>
      <w:r>
        <w:rPr>
          <w:rFonts w:hint="eastAsia" w:asciiTheme="minorEastAsia" w:hAnsiTheme="minorEastAsia"/>
          <w:color w:val="000000" w:themeColor="text1"/>
          <w:sz w:val="21"/>
          <w:szCs w:val="21"/>
          <w14:textFill>
            <w14:solidFill>
              <w14:schemeClr w14:val="tx1"/>
            </w14:solidFill>
          </w14:textFill>
        </w:rPr>
        <w:t>方案</w:t>
      </w:r>
      <w:r>
        <w:rPr>
          <w:rFonts w:hint="eastAsia" w:asciiTheme="minorEastAsia" w:hAnsiTheme="minorEastAsia"/>
          <w:color w:val="000000" w:themeColor="text1"/>
          <w:sz w:val="21"/>
          <w:szCs w:val="21"/>
          <w:lang w:val="en-US" w:eastAsia="zh-CN"/>
          <w14:textFill>
            <w14:solidFill>
              <w14:schemeClr w14:val="tx1"/>
            </w14:solidFill>
          </w14:textFill>
        </w:rPr>
        <w:t>，如有设计方案不全涉及费用追加由投标公司负责。</w:t>
      </w:r>
    </w:p>
    <w:p w14:paraId="36E734E0">
      <w:pPr>
        <w:pStyle w:val="7"/>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20" w:lineRule="exact"/>
        <w:jc w:val="both"/>
        <w:textAlignment w:val="auto"/>
        <w:rPr>
          <w:rFonts w:hint="eastAsia" w:asciiTheme="minorEastAsia" w:hAnsiTheme="minorEastAsia"/>
          <w:color w:val="000000" w:themeColor="text1"/>
          <w:sz w:val="21"/>
          <w:szCs w:val="21"/>
          <w14:textFill>
            <w14:solidFill>
              <w14:schemeClr w14:val="tx1"/>
            </w14:solidFill>
          </w14:textFill>
        </w:rPr>
      </w:pPr>
    </w:p>
    <w:p w14:paraId="0537EA44">
      <w:pPr>
        <w:pStyle w:val="7"/>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20" w:lineRule="exact"/>
        <w:jc w:val="right"/>
        <w:textAlignment w:val="auto"/>
        <w:rPr>
          <w:rFonts w:hint="eastAsia" w:asciiTheme="minorEastAsia" w:hAnsiTheme="minorEastAsia"/>
          <w:color w:val="000000" w:themeColor="text1"/>
          <w:sz w:val="21"/>
          <w:szCs w:val="21"/>
          <w:lang w:val="en-US" w:eastAsia="zh-CN"/>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 xml:space="preserve">                                   驻马店市中医院</w:t>
      </w:r>
    </w:p>
    <w:p w14:paraId="5FD3F2F9">
      <w:pPr>
        <w:pStyle w:val="7"/>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20" w:lineRule="exact"/>
        <w:jc w:val="right"/>
        <w:textAlignment w:val="auto"/>
        <w:rPr>
          <w:rFonts w:hint="default" w:asciiTheme="minorEastAsia" w:hAnsiTheme="minorEastAsia"/>
          <w:color w:val="000000" w:themeColor="text1"/>
          <w:sz w:val="21"/>
          <w:szCs w:val="21"/>
          <w:lang w:val="en-US" w:eastAsia="zh-CN"/>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 xml:space="preserve">                                   2025年3月17日</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91F30"/>
    <w:multiLevelType w:val="singleLevel"/>
    <w:tmpl w:val="8E291F30"/>
    <w:lvl w:ilvl="0" w:tentative="0">
      <w:start w:val="1"/>
      <w:numFmt w:val="decimal"/>
      <w:suff w:val="nothing"/>
      <w:lvlText w:val="%1、"/>
      <w:lvlJc w:val="left"/>
    </w:lvl>
  </w:abstractNum>
  <w:abstractNum w:abstractNumId="1">
    <w:nsid w:val="9EC10147"/>
    <w:multiLevelType w:val="singleLevel"/>
    <w:tmpl w:val="9EC10147"/>
    <w:lvl w:ilvl="0" w:tentative="0">
      <w:start w:val="1"/>
      <w:numFmt w:val="decimal"/>
      <w:suff w:val="nothing"/>
      <w:lvlText w:val="%1、"/>
      <w:lvlJc w:val="left"/>
    </w:lvl>
  </w:abstractNum>
  <w:abstractNum w:abstractNumId="2">
    <w:nsid w:val="AC44ABD8"/>
    <w:multiLevelType w:val="singleLevel"/>
    <w:tmpl w:val="AC44ABD8"/>
    <w:lvl w:ilvl="0" w:tentative="0">
      <w:start w:val="6"/>
      <w:numFmt w:val="chineseCounting"/>
      <w:suff w:val="nothing"/>
      <w:lvlText w:val="%1、"/>
      <w:lvlJc w:val="left"/>
      <w:rPr>
        <w:rFonts w:hint="eastAsia"/>
      </w:rPr>
    </w:lvl>
  </w:abstractNum>
  <w:abstractNum w:abstractNumId="3">
    <w:nsid w:val="F8B9CE7F"/>
    <w:multiLevelType w:val="singleLevel"/>
    <w:tmpl w:val="F8B9CE7F"/>
    <w:lvl w:ilvl="0" w:tentative="0">
      <w:start w:val="1"/>
      <w:numFmt w:val="decimal"/>
      <w:suff w:val="nothing"/>
      <w:lvlText w:val="%1、"/>
      <w:lvlJc w:val="left"/>
    </w:lvl>
  </w:abstractNum>
  <w:abstractNum w:abstractNumId="4">
    <w:nsid w:val="2A3B8CF4"/>
    <w:multiLevelType w:val="singleLevel"/>
    <w:tmpl w:val="2A3B8CF4"/>
    <w:lvl w:ilvl="0" w:tentative="0">
      <w:start w:val="1"/>
      <w:numFmt w:val="chineseCounting"/>
      <w:suff w:val="nothing"/>
      <w:lvlText w:val="%1、"/>
      <w:lvlJc w:val="left"/>
      <w:rPr>
        <w:rFonts w:hint="eastAsi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iZDBhNjhkZTlkODIxMzFiYTc2ZTA0OTZjYjJhNzgifQ=="/>
  </w:docVars>
  <w:rsids>
    <w:rsidRoot w:val="4948794F"/>
    <w:rsid w:val="00093C7F"/>
    <w:rsid w:val="000A4A3A"/>
    <w:rsid w:val="000B401C"/>
    <w:rsid w:val="000D4881"/>
    <w:rsid w:val="0017729E"/>
    <w:rsid w:val="00212EA8"/>
    <w:rsid w:val="00215B57"/>
    <w:rsid w:val="00254AE5"/>
    <w:rsid w:val="00257232"/>
    <w:rsid w:val="003019F6"/>
    <w:rsid w:val="0030541B"/>
    <w:rsid w:val="0048174C"/>
    <w:rsid w:val="00490508"/>
    <w:rsid w:val="004F711F"/>
    <w:rsid w:val="005210C7"/>
    <w:rsid w:val="00535214"/>
    <w:rsid w:val="005D1E23"/>
    <w:rsid w:val="006A5FF1"/>
    <w:rsid w:val="00772F97"/>
    <w:rsid w:val="007C2922"/>
    <w:rsid w:val="00844180"/>
    <w:rsid w:val="008804A5"/>
    <w:rsid w:val="008A3E16"/>
    <w:rsid w:val="0091137E"/>
    <w:rsid w:val="009A7903"/>
    <w:rsid w:val="009F4B68"/>
    <w:rsid w:val="00A051D5"/>
    <w:rsid w:val="00AF74B5"/>
    <w:rsid w:val="00B05056"/>
    <w:rsid w:val="00B21C7A"/>
    <w:rsid w:val="00C2718E"/>
    <w:rsid w:val="00CE2BAB"/>
    <w:rsid w:val="00D11D44"/>
    <w:rsid w:val="00D464D7"/>
    <w:rsid w:val="00DA4B76"/>
    <w:rsid w:val="00DE50CC"/>
    <w:rsid w:val="00E018AF"/>
    <w:rsid w:val="00E81421"/>
    <w:rsid w:val="00EA37D6"/>
    <w:rsid w:val="00ED4A37"/>
    <w:rsid w:val="00F866A9"/>
    <w:rsid w:val="00FF4D38"/>
    <w:rsid w:val="01FC791F"/>
    <w:rsid w:val="046B47BF"/>
    <w:rsid w:val="048900BC"/>
    <w:rsid w:val="059027D0"/>
    <w:rsid w:val="05D67331"/>
    <w:rsid w:val="062E0F1B"/>
    <w:rsid w:val="066813AB"/>
    <w:rsid w:val="072544E1"/>
    <w:rsid w:val="0A9B4EF3"/>
    <w:rsid w:val="0ACA0B50"/>
    <w:rsid w:val="0B5E4AB1"/>
    <w:rsid w:val="0CEA033F"/>
    <w:rsid w:val="0D6649CA"/>
    <w:rsid w:val="0FC93932"/>
    <w:rsid w:val="0FF7591B"/>
    <w:rsid w:val="11056195"/>
    <w:rsid w:val="11571C59"/>
    <w:rsid w:val="13AD3D61"/>
    <w:rsid w:val="1403156B"/>
    <w:rsid w:val="16085872"/>
    <w:rsid w:val="18A54590"/>
    <w:rsid w:val="196F567B"/>
    <w:rsid w:val="1A384090"/>
    <w:rsid w:val="1A422421"/>
    <w:rsid w:val="1BCD0437"/>
    <w:rsid w:val="1D634CAD"/>
    <w:rsid w:val="201115E5"/>
    <w:rsid w:val="20120B0E"/>
    <w:rsid w:val="20AC4867"/>
    <w:rsid w:val="210D3CD7"/>
    <w:rsid w:val="21BE43AB"/>
    <w:rsid w:val="230804B0"/>
    <w:rsid w:val="237035F5"/>
    <w:rsid w:val="2572277A"/>
    <w:rsid w:val="26BE4043"/>
    <w:rsid w:val="27D668C5"/>
    <w:rsid w:val="286D5860"/>
    <w:rsid w:val="293D2058"/>
    <w:rsid w:val="2A24242F"/>
    <w:rsid w:val="2B1A687E"/>
    <w:rsid w:val="2E232138"/>
    <w:rsid w:val="33D97E69"/>
    <w:rsid w:val="374446F2"/>
    <w:rsid w:val="38AA5930"/>
    <w:rsid w:val="38AC2E1A"/>
    <w:rsid w:val="3AB955B0"/>
    <w:rsid w:val="3AFF6407"/>
    <w:rsid w:val="3BF865ED"/>
    <w:rsid w:val="3C506440"/>
    <w:rsid w:val="3CA15474"/>
    <w:rsid w:val="3DC239AC"/>
    <w:rsid w:val="3E481E73"/>
    <w:rsid w:val="3EEB0A50"/>
    <w:rsid w:val="405342D0"/>
    <w:rsid w:val="41C645B0"/>
    <w:rsid w:val="421B789E"/>
    <w:rsid w:val="42BF46CD"/>
    <w:rsid w:val="442131E1"/>
    <w:rsid w:val="462C02CC"/>
    <w:rsid w:val="4693012C"/>
    <w:rsid w:val="481275B6"/>
    <w:rsid w:val="48A44149"/>
    <w:rsid w:val="48CF17CE"/>
    <w:rsid w:val="492434DC"/>
    <w:rsid w:val="4948794F"/>
    <w:rsid w:val="4B356E93"/>
    <w:rsid w:val="4DE17BEE"/>
    <w:rsid w:val="4F061DBB"/>
    <w:rsid w:val="50AC4ED0"/>
    <w:rsid w:val="52B33D54"/>
    <w:rsid w:val="543C5B7E"/>
    <w:rsid w:val="548767C9"/>
    <w:rsid w:val="57256D9D"/>
    <w:rsid w:val="58247A66"/>
    <w:rsid w:val="58480F53"/>
    <w:rsid w:val="58715D82"/>
    <w:rsid w:val="5A964F8E"/>
    <w:rsid w:val="5AEB5C08"/>
    <w:rsid w:val="5D713D22"/>
    <w:rsid w:val="5E5B483E"/>
    <w:rsid w:val="5EDB532E"/>
    <w:rsid w:val="5F0A6A8D"/>
    <w:rsid w:val="60137CAB"/>
    <w:rsid w:val="60806DF2"/>
    <w:rsid w:val="63AB6980"/>
    <w:rsid w:val="64A9629C"/>
    <w:rsid w:val="65684E1C"/>
    <w:rsid w:val="663E19E2"/>
    <w:rsid w:val="67442194"/>
    <w:rsid w:val="680E175C"/>
    <w:rsid w:val="694B7418"/>
    <w:rsid w:val="6A3E7588"/>
    <w:rsid w:val="6A8F73ED"/>
    <w:rsid w:val="6C7843B5"/>
    <w:rsid w:val="6CA16A6E"/>
    <w:rsid w:val="6F854425"/>
    <w:rsid w:val="74111A23"/>
    <w:rsid w:val="74CE13B1"/>
    <w:rsid w:val="764346F2"/>
    <w:rsid w:val="766D2A97"/>
    <w:rsid w:val="7B542EFE"/>
    <w:rsid w:val="7D8F646F"/>
    <w:rsid w:val="7F033565"/>
    <w:rsid w:val="7F2A1809"/>
    <w:rsid w:val="FFF7B3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next w:val="2"/>
    <w:qFormat/>
    <w:uiPriority w:val="0"/>
    <w:pPr>
      <w:spacing w:after="120" w:line="480" w:lineRule="auto"/>
      <w:ind w:firstLine="560" w:firstLineChars="200"/>
    </w:pPr>
    <w:rPr>
      <w:rFonts w:ascii="Calibri" w:hAnsi="Calibri" w:eastAsia="仿宋_GB2312"/>
      <w:sz w:val="28"/>
    </w:rPr>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qFormat/>
    <w:uiPriority w:val="99"/>
    <w:pPr>
      <w:ind w:firstLine="420" w:firstLineChars="200"/>
    </w:pPr>
    <w:rPr>
      <w:rFonts w:ascii="Times New Roman" w:hAnsi="Times New Roman" w:eastAsia="宋体" w:cs="Times New Roman"/>
      <w:sz w:val="32"/>
      <w:szCs w:val="20"/>
    </w:rPr>
  </w:style>
  <w:style w:type="table" w:styleId="10">
    <w:name w:val="Table Grid"/>
    <w:basedOn w:val="9"/>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12">
    <w:name w:val="页眉 字符"/>
    <w:basedOn w:val="11"/>
    <w:link w:val="6"/>
    <w:qFormat/>
    <w:uiPriority w:val="0"/>
    <w:rPr>
      <w:rFonts w:asciiTheme="minorHAnsi" w:hAnsiTheme="minorHAnsi" w:eastAsiaTheme="minorEastAsia" w:cstheme="minorBidi"/>
      <w:kern w:val="2"/>
      <w:sz w:val="18"/>
      <w:szCs w:val="18"/>
    </w:rPr>
  </w:style>
  <w:style w:type="character" w:customStyle="1" w:styleId="13">
    <w:name w:val="页脚 字符"/>
    <w:basedOn w:val="11"/>
    <w:link w:val="5"/>
    <w:qFormat/>
    <w:uiPriority w:val="0"/>
    <w:rPr>
      <w:rFonts w:asciiTheme="minorHAnsi" w:hAnsiTheme="minorHAnsi" w:eastAsiaTheme="minorEastAsia" w:cstheme="minorBidi"/>
      <w:kern w:val="2"/>
      <w:sz w:val="18"/>
      <w:szCs w:val="18"/>
    </w:rPr>
  </w:style>
  <w:style w:type="character" w:customStyle="1" w:styleId="14">
    <w:name w:val="批注框文本 字符"/>
    <w:basedOn w:val="11"/>
    <w:link w:val="4"/>
    <w:qFormat/>
    <w:uiPriority w:val="0"/>
    <w:rPr>
      <w:rFonts w:asciiTheme="minorHAnsi" w:hAnsiTheme="minorHAnsi" w:eastAsiaTheme="minorEastAsia" w:cstheme="minorBidi"/>
      <w:kern w:val="2"/>
      <w:sz w:val="18"/>
      <w:szCs w:val="18"/>
    </w:rPr>
  </w:style>
  <w:style w:type="paragraph" w:customStyle="1" w:styleId="15">
    <w:name w:val="列表段落1"/>
    <w:basedOn w:val="1"/>
    <w:unhideWhenUsed/>
    <w:qFormat/>
    <w:uiPriority w:val="99"/>
    <w:pPr>
      <w:ind w:firstLine="420" w:firstLineChars="200"/>
    </w:pPr>
  </w:style>
  <w:style w:type="paragraph" w:customStyle="1" w:styleId="16">
    <w:name w:val="列表段落11"/>
    <w:basedOn w:val="1"/>
    <w:qFormat/>
    <w:uiPriority w:val="0"/>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1599</Words>
  <Characters>1888</Characters>
  <Lines>10</Lines>
  <Paragraphs>2</Paragraphs>
  <TotalTime>1</TotalTime>
  <ScaleCrop>false</ScaleCrop>
  <LinksUpToDate>false</LinksUpToDate>
  <CharactersWithSpaces>2225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2023-07-27T16:57:00Z</dcterms:created>
  <dc:creator>驻马店市中医院招标办</dc:creator>
  <cp:lastModifiedBy>张小闲</cp:lastModifiedBy>
  <cp:lastPrinted>2025-03-17T06:43:19Z</cp:lastPrinted>
  <dcterms:modified xsi:type="dcterms:W3CDTF">2025-03-17T06:43:29Z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7B04DB79CB924D3DAE35C0282C0F2930_13</vt:lpwstr>
  </property>
  <property fmtid="{D5CDD505-2E9C-101B-9397-08002B2CF9AE}" pid="4" name="KSOTemplateDocerSaveRecord">
    <vt:lpwstr>eyJoZGlkIjoiNWY3ODc0YzI1YTBlM2YxMjgyZDYzYjZhMjYxN2E5ZmUiLCJ1c2VySWQiOiIyMjc3ODEyNzUifQ==</vt:lpwstr>
  </property>
</Properties>
</file>