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DF5F9">
      <w:pPr>
        <w:jc w:val="center"/>
        <w:rPr>
          <w:rFonts w:hint="eastAsia" w:ascii="宋体" w:hAnsi="宋体" w:cs="宋体"/>
          <w:b/>
          <w:bCs/>
          <w:color w:val="000000"/>
          <w:kern w:val="0"/>
          <w:sz w:val="48"/>
          <w:szCs w:val="48"/>
        </w:rPr>
      </w:pPr>
      <w:r>
        <w:rPr>
          <w:rFonts w:hint="eastAsia" w:ascii="宋体" w:hAnsi="宋体" w:cs="宋体"/>
          <w:b/>
          <w:bCs/>
          <w:color w:val="000000"/>
          <w:kern w:val="0"/>
          <w:sz w:val="48"/>
          <w:szCs w:val="48"/>
        </w:rPr>
        <w:t>驿城区二分厂国控环境空气自动监测站点迁移数据对比项目</w:t>
      </w:r>
    </w:p>
    <w:p w14:paraId="5B091E6D">
      <w:pPr>
        <w:pStyle w:val="5"/>
        <w:rPr>
          <w:color w:val="000000"/>
        </w:rPr>
      </w:pPr>
      <w:bookmarkStart w:id="0" w:name="OLE_LINK5"/>
      <w:bookmarkStart w:id="1" w:name="OLE_LINK2"/>
      <w:bookmarkStart w:id="2" w:name="OLE_LINK3"/>
      <w:bookmarkStart w:id="3" w:name="OLE_LINK1"/>
    </w:p>
    <w:p w14:paraId="7F8B3376">
      <w:pPr>
        <w:pStyle w:val="5"/>
        <w:rPr>
          <w:rFonts w:hint="eastAsia"/>
          <w:color w:val="000000"/>
        </w:rPr>
      </w:pPr>
    </w:p>
    <w:bookmarkEnd w:id="0"/>
    <w:bookmarkEnd w:id="1"/>
    <w:bookmarkEnd w:id="2"/>
    <w:bookmarkEnd w:id="3"/>
    <w:p w14:paraId="6EAEEAE1">
      <w:pPr>
        <w:spacing w:line="420" w:lineRule="exact"/>
        <w:ind w:firstLine="482" w:firstLineChars="200"/>
        <w:jc w:val="left"/>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一、服务内容及要求</w:t>
      </w:r>
    </w:p>
    <w:p w14:paraId="2676389F">
      <w:pPr>
        <w:widowControl/>
        <w:shd w:val="clear" w:color="auto" w:fill="FFFFFF"/>
        <w:spacing w:line="440" w:lineRule="exact"/>
        <w:ind w:firstLine="480" w:firstLineChars="200"/>
        <w:rPr>
          <w:rFonts w:hint="eastAsia" w:ascii="宋体" w:hAnsi="宋体" w:cs="宋体"/>
          <w:color w:val="000000"/>
          <w:kern w:val="0"/>
          <w:sz w:val="24"/>
        </w:rPr>
      </w:pPr>
      <w:bookmarkStart w:id="4" w:name="_Toc3476"/>
      <w:bookmarkStart w:id="5" w:name="_Toc29261"/>
      <w:r>
        <w:rPr>
          <w:rFonts w:hint="eastAsia" w:ascii="宋体" w:hAnsi="宋体" w:cs="宋体"/>
          <w:color w:val="000000"/>
          <w:kern w:val="0"/>
          <w:sz w:val="24"/>
        </w:rPr>
        <w:t>（一）</w:t>
      </w:r>
      <w:bookmarkEnd w:id="4"/>
      <w:bookmarkEnd w:id="5"/>
      <w:r>
        <w:rPr>
          <w:rFonts w:hint="eastAsia" w:ascii="宋体" w:hAnsi="宋体" w:cs="宋体"/>
          <w:color w:val="000000"/>
          <w:kern w:val="0"/>
          <w:sz w:val="24"/>
        </w:rPr>
        <w:t>项目背景</w:t>
      </w:r>
    </w:p>
    <w:p w14:paraId="325F94B2">
      <w:pPr>
        <w:widowControl/>
        <w:shd w:val="clear" w:color="auto" w:fill="FFFFFF"/>
        <w:spacing w:line="440" w:lineRule="exact"/>
        <w:ind w:firstLine="480" w:firstLineChars="200"/>
        <w:rPr>
          <w:rFonts w:hint="eastAsia" w:ascii="宋体" w:hAnsi="宋体" w:cs="宋体"/>
          <w:color w:val="000000"/>
          <w:kern w:val="0"/>
          <w:sz w:val="24"/>
        </w:rPr>
      </w:pPr>
      <w:bookmarkStart w:id="6" w:name="_Toc24639"/>
      <w:bookmarkStart w:id="7" w:name="_Toc477965100"/>
      <w:bookmarkStart w:id="8" w:name="_Toc192"/>
      <w:r>
        <w:rPr>
          <w:rFonts w:hint="eastAsia" w:ascii="宋体" w:hAnsi="宋体" w:cs="宋体"/>
          <w:color w:val="000000"/>
          <w:kern w:val="0"/>
          <w:sz w:val="24"/>
        </w:rPr>
        <w:t>为了更加科学、准确、真实、客观的反映驿城区的环境空气质量状况，反映全区环境空气质量的现状、变化趋势和污染特征，并进一步掌握本地环境空气质量分布状况，为优化驿城区二分厂国控环境空气自动监测站点提供数据支持。为选取更具有代表性的空气质量监测点位进行点位对比监测。</w:t>
      </w:r>
    </w:p>
    <w:bookmarkEnd w:id="6"/>
    <w:bookmarkEnd w:id="7"/>
    <w:bookmarkEnd w:id="8"/>
    <w:p w14:paraId="3E567EB0">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（二）项目目标</w:t>
      </w:r>
    </w:p>
    <w:p w14:paraId="641BA5C3">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根据《环境空气质量监测点位布设技术规范（试行）（HJ664-2013）等文件要求，提供驿城区二分厂国控环境空气自动监测站点迁移数据比对技术服务。</w:t>
      </w:r>
    </w:p>
    <w:p w14:paraId="1D0561FB">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（三）点位选取原则</w:t>
      </w:r>
    </w:p>
    <w:p w14:paraId="4CC11028">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对比监测点位的设置条件应结合驿城区实际情况，能够从布局上、数量上符合国家《环境监测技术规范》、《环境空气质量监测规范（试行）》、《环境质量监测点位管理办法》、《环境空气质量监测点位布设技术规范（试行）（HJ 664-2013）》的具体要求，以客观全面反映城市空气质量整体状况和变化趋势为目标。</w:t>
      </w:r>
    </w:p>
    <w:p w14:paraId="4009E00E">
      <w:pPr>
        <w:widowControl/>
        <w:shd w:val="clear" w:color="auto" w:fill="FFFFFF"/>
        <w:spacing w:line="440" w:lineRule="exact"/>
        <w:ind w:firstLine="480" w:firstLineChars="200"/>
        <w:rPr>
          <w:rFonts w:hint="eastAsia" w:ascii="宋体" w:hAnsi="宋体" w:cs="宋体"/>
          <w:color w:val="000000"/>
          <w:kern w:val="0"/>
          <w:sz w:val="24"/>
        </w:rPr>
      </w:pPr>
      <w:bookmarkStart w:id="9" w:name="_Toc7980"/>
      <w:bookmarkStart w:id="10" w:name="_Toc15259"/>
      <w:r>
        <w:rPr>
          <w:rFonts w:hint="eastAsia" w:ascii="宋体" w:hAnsi="宋体" w:cs="宋体"/>
          <w:color w:val="000000"/>
          <w:kern w:val="0"/>
          <w:sz w:val="24"/>
        </w:rPr>
        <w:t>（四）对比监测方案</w:t>
      </w:r>
      <w:bookmarkEnd w:id="9"/>
      <w:bookmarkEnd w:id="10"/>
    </w:p>
    <w:p w14:paraId="53FECF89">
      <w:pPr>
        <w:widowControl/>
        <w:shd w:val="clear" w:color="auto" w:fill="FFFFFF"/>
        <w:spacing w:line="440" w:lineRule="exact"/>
        <w:ind w:firstLine="480" w:firstLineChars="200"/>
        <w:rPr>
          <w:rFonts w:hint="eastAsia" w:ascii="宋体" w:hAnsi="宋体" w:cs="宋体"/>
          <w:color w:val="000000"/>
          <w:kern w:val="0"/>
          <w:sz w:val="24"/>
        </w:rPr>
      </w:pPr>
      <w:bookmarkStart w:id="11" w:name="_Toc26090"/>
      <w:r>
        <w:rPr>
          <w:rFonts w:hint="eastAsia" w:ascii="宋体" w:hAnsi="宋体" w:cs="宋体"/>
          <w:color w:val="000000"/>
          <w:kern w:val="0"/>
          <w:sz w:val="24"/>
        </w:rPr>
        <w:t>4.1</w:t>
      </w:r>
      <w:bookmarkEnd w:id="11"/>
      <w:bookmarkStart w:id="12" w:name="_Toc19251"/>
      <w:r>
        <w:rPr>
          <w:rFonts w:hint="eastAsia" w:ascii="宋体" w:hAnsi="宋体" w:cs="宋体"/>
          <w:color w:val="000000"/>
          <w:kern w:val="0"/>
          <w:sz w:val="24"/>
        </w:rPr>
        <w:t xml:space="preserve"> 城市环境空气质量现状分析</w:t>
      </w:r>
      <w:bookmarkEnd w:id="12"/>
    </w:p>
    <w:p w14:paraId="0A53735A">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结合本地区现有监测网络分布、环境空气质量监测历史数据、气象条件等基本信息，对本地区环境空气质量污染特征进行评估分析。</w:t>
      </w:r>
    </w:p>
    <w:p w14:paraId="4BE98D03">
      <w:pPr>
        <w:widowControl/>
        <w:shd w:val="clear" w:color="auto" w:fill="FFFFFF"/>
        <w:spacing w:line="440" w:lineRule="exact"/>
        <w:ind w:firstLine="480" w:firstLineChars="200"/>
        <w:rPr>
          <w:rFonts w:hint="eastAsia" w:ascii="宋体" w:hAnsi="宋体" w:cs="宋体"/>
          <w:color w:val="000000"/>
          <w:kern w:val="0"/>
          <w:sz w:val="24"/>
        </w:rPr>
      </w:pPr>
      <w:bookmarkStart w:id="13" w:name="_Toc22541"/>
      <w:r>
        <w:rPr>
          <w:rFonts w:hint="eastAsia" w:ascii="宋体" w:hAnsi="宋体" w:cs="宋体"/>
          <w:color w:val="000000"/>
          <w:kern w:val="0"/>
          <w:sz w:val="24"/>
        </w:rPr>
        <w:t>4.2</w:t>
      </w:r>
      <w:bookmarkEnd w:id="13"/>
      <w:r>
        <w:rPr>
          <w:rFonts w:hint="eastAsia" w:ascii="宋体" w:hAnsi="宋体" w:cs="宋体"/>
          <w:color w:val="000000"/>
          <w:kern w:val="0"/>
          <w:sz w:val="24"/>
        </w:rPr>
        <w:t xml:space="preserve"> 地区空气质量评估及监测点位选取</w:t>
      </w:r>
    </w:p>
    <w:p w14:paraId="53712905">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按照国家环境空气质量监测点位布设技术规范的要求，在现有监测点位管理提升和强化质控等改进工作的基础上，对实地进行踏勘，选择3个监测点位（包括备选点2个，原点位参考点1个）进行点位布设，开展为期15天的有效比对监测。</w:t>
      </w:r>
    </w:p>
    <w:p w14:paraId="2FF45B41">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4.3监测内容及方法</w:t>
      </w:r>
    </w:p>
    <w:p w14:paraId="7BD5D104">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（1）监测依据</w:t>
      </w:r>
    </w:p>
    <w:p w14:paraId="53431A7F">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《环境空气颗粒物（PM2.5和PM10）连续自动监测系统技术要求及检测方法》HJ 653-2013及修改单</w:t>
      </w:r>
    </w:p>
    <w:p w14:paraId="4E8AB19F">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《空气和废气监测分析方法》（第四版增补版）3.2.2.4 Beta射线衰减法</w:t>
      </w:r>
    </w:p>
    <w:p w14:paraId="05DED266">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《环境空气质量标准》GB3095-2012</w:t>
      </w:r>
    </w:p>
    <w:p w14:paraId="5F838C43">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《环境空气气态污染物(SO2、NO2、O3、CO)连续自动监测系统技术要求及检测方法》（HJ 654-2013）及修改单</w:t>
      </w:r>
    </w:p>
    <w:p w14:paraId="6E6B5B3D">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《环境空气质量监测点位布设技术规范（试行）》（HJ 664-2013）</w:t>
      </w:r>
    </w:p>
    <w:p w14:paraId="6E7ABE89">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（2）监测内容</w:t>
      </w:r>
    </w:p>
    <w:tbl>
      <w:tblPr>
        <w:tblStyle w:val="3"/>
        <w:tblW w:w="6906" w:type="dxa"/>
        <w:tblInd w:w="940" w:type="dxa"/>
        <w:tblLayout w:type="autofit"/>
        <w:tblCellMar>
          <w:top w:w="0" w:type="dxa"/>
          <w:left w:w="108" w:type="dxa"/>
          <w:bottom w:w="0" w:type="dxa"/>
          <w:right w:w="108" w:type="dxa"/>
        </w:tblCellMar>
      </w:tblPr>
      <w:tblGrid>
        <w:gridCol w:w="2302"/>
        <w:gridCol w:w="2302"/>
        <w:gridCol w:w="2302"/>
      </w:tblGrid>
      <w:tr w14:paraId="475A4511">
        <w:trPr>
          <w:trHeight w:val="866" w:hRule="atLeast"/>
        </w:trPr>
        <w:tc>
          <w:tcPr>
            <w:tcW w:w="2302" w:type="dxa"/>
            <w:tcBorders>
              <w:top w:val="single" w:color="auto" w:sz="4" w:space="0"/>
              <w:left w:val="single" w:color="auto" w:sz="4" w:space="0"/>
              <w:bottom w:val="single" w:color="auto" w:sz="4" w:space="0"/>
              <w:right w:val="single" w:color="auto" w:sz="4" w:space="0"/>
            </w:tcBorders>
            <w:noWrap w:val="0"/>
            <w:vAlign w:val="center"/>
          </w:tcPr>
          <w:p w14:paraId="5AAC8C0F">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检测项目</w:t>
            </w:r>
          </w:p>
        </w:tc>
        <w:tc>
          <w:tcPr>
            <w:tcW w:w="2302" w:type="dxa"/>
            <w:tcBorders>
              <w:top w:val="single" w:color="auto" w:sz="4" w:space="0"/>
              <w:left w:val="nil"/>
              <w:bottom w:val="single" w:color="auto" w:sz="4" w:space="0"/>
              <w:right w:val="single" w:color="auto" w:sz="4" w:space="0"/>
            </w:tcBorders>
            <w:noWrap w:val="0"/>
            <w:vAlign w:val="center"/>
          </w:tcPr>
          <w:p w14:paraId="677A35A7">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点位数（个）</w:t>
            </w:r>
          </w:p>
        </w:tc>
        <w:tc>
          <w:tcPr>
            <w:tcW w:w="2302" w:type="dxa"/>
            <w:tcBorders>
              <w:top w:val="single" w:color="auto" w:sz="4" w:space="0"/>
              <w:left w:val="nil"/>
              <w:bottom w:val="single" w:color="auto" w:sz="4" w:space="0"/>
              <w:right w:val="single" w:color="auto" w:sz="4" w:space="0"/>
            </w:tcBorders>
            <w:noWrap w:val="0"/>
            <w:vAlign w:val="center"/>
          </w:tcPr>
          <w:p w14:paraId="135B8DE5">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检测时间（天）</w:t>
            </w:r>
          </w:p>
        </w:tc>
      </w:tr>
      <w:tr w14:paraId="42974C45">
        <w:tblPrEx>
          <w:tblCellMar>
            <w:top w:w="0" w:type="dxa"/>
            <w:left w:w="108" w:type="dxa"/>
            <w:bottom w:w="0" w:type="dxa"/>
            <w:right w:w="108" w:type="dxa"/>
          </w:tblCellMar>
        </w:tblPrEx>
        <w:trPr>
          <w:trHeight w:val="269" w:hRule="atLeast"/>
        </w:trPr>
        <w:tc>
          <w:tcPr>
            <w:tcW w:w="2302" w:type="dxa"/>
            <w:tcBorders>
              <w:top w:val="nil"/>
              <w:left w:val="single" w:color="auto" w:sz="4" w:space="0"/>
              <w:bottom w:val="single" w:color="auto" w:sz="4" w:space="0"/>
              <w:right w:val="single" w:color="auto" w:sz="4" w:space="0"/>
            </w:tcBorders>
            <w:noWrap w:val="0"/>
            <w:vAlign w:val="center"/>
          </w:tcPr>
          <w:p w14:paraId="2E25CEC6">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S02</w:t>
            </w:r>
          </w:p>
        </w:tc>
        <w:tc>
          <w:tcPr>
            <w:tcW w:w="2302" w:type="dxa"/>
            <w:tcBorders>
              <w:top w:val="nil"/>
              <w:left w:val="nil"/>
              <w:bottom w:val="single" w:color="auto" w:sz="4" w:space="0"/>
              <w:right w:val="single" w:color="auto" w:sz="4" w:space="0"/>
            </w:tcBorders>
            <w:noWrap w:val="0"/>
            <w:vAlign w:val="center"/>
          </w:tcPr>
          <w:p w14:paraId="6F07619F">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2302" w:type="dxa"/>
            <w:tcBorders>
              <w:top w:val="nil"/>
              <w:left w:val="nil"/>
              <w:bottom w:val="single" w:color="auto" w:sz="4" w:space="0"/>
              <w:right w:val="single" w:color="auto" w:sz="4" w:space="0"/>
            </w:tcBorders>
            <w:noWrap w:val="0"/>
            <w:vAlign w:val="center"/>
          </w:tcPr>
          <w:p w14:paraId="149A9D28">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15</w:t>
            </w:r>
          </w:p>
        </w:tc>
      </w:tr>
      <w:tr w14:paraId="7FC0AC3A">
        <w:tblPrEx>
          <w:tblCellMar>
            <w:top w:w="0" w:type="dxa"/>
            <w:left w:w="108" w:type="dxa"/>
            <w:bottom w:w="0" w:type="dxa"/>
            <w:right w:w="108" w:type="dxa"/>
          </w:tblCellMar>
        </w:tblPrEx>
        <w:trPr>
          <w:trHeight w:val="269" w:hRule="atLeast"/>
        </w:trPr>
        <w:tc>
          <w:tcPr>
            <w:tcW w:w="2302" w:type="dxa"/>
            <w:tcBorders>
              <w:top w:val="nil"/>
              <w:left w:val="single" w:color="auto" w:sz="4" w:space="0"/>
              <w:bottom w:val="single" w:color="auto" w:sz="4" w:space="0"/>
              <w:right w:val="single" w:color="auto" w:sz="4" w:space="0"/>
            </w:tcBorders>
            <w:noWrap w:val="0"/>
            <w:vAlign w:val="center"/>
          </w:tcPr>
          <w:p w14:paraId="0AD04492">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NO2</w:t>
            </w:r>
          </w:p>
        </w:tc>
        <w:tc>
          <w:tcPr>
            <w:tcW w:w="2302" w:type="dxa"/>
            <w:tcBorders>
              <w:top w:val="nil"/>
              <w:left w:val="nil"/>
              <w:bottom w:val="single" w:color="auto" w:sz="4" w:space="0"/>
              <w:right w:val="single" w:color="auto" w:sz="4" w:space="0"/>
            </w:tcBorders>
            <w:noWrap w:val="0"/>
            <w:vAlign w:val="center"/>
          </w:tcPr>
          <w:p w14:paraId="2F981166">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2302" w:type="dxa"/>
            <w:tcBorders>
              <w:top w:val="nil"/>
              <w:left w:val="nil"/>
              <w:bottom w:val="single" w:color="auto" w:sz="4" w:space="0"/>
              <w:right w:val="single" w:color="auto" w:sz="4" w:space="0"/>
            </w:tcBorders>
            <w:noWrap w:val="0"/>
            <w:vAlign w:val="center"/>
          </w:tcPr>
          <w:p w14:paraId="1DFE74B3">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15</w:t>
            </w:r>
          </w:p>
        </w:tc>
      </w:tr>
      <w:tr w14:paraId="046D97F5">
        <w:tblPrEx>
          <w:tblCellMar>
            <w:top w:w="0" w:type="dxa"/>
            <w:left w:w="108" w:type="dxa"/>
            <w:bottom w:w="0" w:type="dxa"/>
            <w:right w:w="108" w:type="dxa"/>
          </w:tblCellMar>
        </w:tblPrEx>
        <w:trPr>
          <w:trHeight w:val="269" w:hRule="atLeast"/>
        </w:trPr>
        <w:tc>
          <w:tcPr>
            <w:tcW w:w="2302" w:type="dxa"/>
            <w:tcBorders>
              <w:top w:val="nil"/>
              <w:left w:val="single" w:color="auto" w:sz="4" w:space="0"/>
              <w:bottom w:val="single" w:color="auto" w:sz="4" w:space="0"/>
              <w:right w:val="single" w:color="auto" w:sz="4" w:space="0"/>
            </w:tcBorders>
            <w:noWrap w:val="0"/>
            <w:vAlign w:val="center"/>
          </w:tcPr>
          <w:p w14:paraId="21156227">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co</w:t>
            </w:r>
          </w:p>
        </w:tc>
        <w:tc>
          <w:tcPr>
            <w:tcW w:w="2302" w:type="dxa"/>
            <w:tcBorders>
              <w:top w:val="nil"/>
              <w:left w:val="nil"/>
              <w:bottom w:val="single" w:color="auto" w:sz="4" w:space="0"/>
              <w:right w:val="single" w:color="auto" w:sz="4" w:space="0"/>
            </w:tcBorders>
            <w:noWrap w:val="0"/>
            <w:vAlign w:val="center"/>
          </w:tcPr>
          <w:p w14:paraId="46202BA2">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2302" w:type="dxa"/>
            <w:tcBorders>
              <w:top w:val="nil"/>
              <w:left w:val="nil"/>
              <w:bottom w:val="single" w:color="auto" w:sz="4" w:space="0"/>
              <w:right w:val="single" w:color="auto" w:sz="4" w:space="0"/>
            </w:tcBorders>
            <w:noWrap w:val="0"/>
            <w:vAlign w:val="center"/>
          </w:tcPr>
          <w:p w14:paraId="44093071">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15</w:t>
            </w:r>
          </w:p>
        </w:tc>
      </w:tr>
      <w:tr w14:paraId="2C9A1579">
        <w:tblPrEx>
          <w:tblCellMar>
            <w:top w:w="0" w:type="dxa"/>
            <w:left w:w="108" w:type="dxa"/>
            <w:bottom w:w="0" w:type="dxa"/>
            <w:right w:w="108" w:type="dxa"/>
          </w:tblCellMar>
        </w:tblPrEx>
        <w:trPr>
          <w:trHeight w:val="269" w:hRule="atLeast"/>
        </w:trPr>
        <w:tc>
          <w:tcPr>
            <w:tcW w:w="2302" w:type="dxa"/>
            <w:tcBorders>
              <w:top w:val="nil"/>
              <w:left w:val="single" w:color="auto" w:sz="4" w:space="0"/>
              <w:bottom w:val="single" w:color="auto" w:sz="4" w:space="0"/>
              <w:right w:val="single" w:color="auto" w:sz="4" w:space="0"/>
            </w:tcBorders>
            <w:noWrap w:val="0"/>
            <w:vAlign w:val="center"/>
          </w:tcPr>
          <w:p w14:paraId="07BBABD3">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O3</w:t>
            </w:r>
          </w:p>
        </w:tc>
        <w:tc>
          <w:tcPr>
            <w:tcW w:w="2302" w:type="dxa"/>
            <w:tcBorders>
              <w:top w:val="nil"/>
              <w:left w:val="nil"/>
              <w:bottom w:val="single" w:color="auto" w:sz="4" w:space="0"/>
              <w:right w:val="single" w:color="auto" w:sz="4" w:space="0"/>
            </w:tcBorders>
            <w:noWrap w:val="0"/>
            <w:vAlign w:val="center"/>
          </w:tcPr>
          <w:p w14:paraId="1F45C1E7">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2302" w:type="dxa"/>
            <w:tcBorders>
              <w:top w:val="nil"/>
              <w:left w:val="nil"/>
              <w:bottom w:val="single" w:color="auto" w:sz="4" w:space="0"/>
              <w:right w:val="single" w:color="auto" w:sz="4" w:space="0"/>
            </w:tcBorders>
            <w:noWrap w:val="0"/>
            <w:vAlign w:val="center"/>
          </w:tcPr>
          <w:p w14:paraId="7A7084AF">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15</w:t>
            </w:r>
          </w:p>
        </w:tc>
      </w:tr>
      <w:tr w14:paraId="29E6A2F7">
        <w:tblPrEx>
          <w:tblCellMar>
            <w:top w:w="0" w:type="dxa"/>
            <w:left w:w="108" w:type="dxa"/>
            <w:bottom w:w="0" w:type="dxa"/>
            <w:right w:w="108" w:type="dxa"/>
          </w:tblCellMar>
        </w:tblPrEx>
        <w:trPr>
          <w:trHeight w:val="269" w:hRule="atLeast"/>
        </w:trPr>
        <w:tc>
          <w:tcPr>
            <w:tcW w:w="2302" w:type="dxa"/>
            <w:tcBorders>
              <w:top w:val="nil"/>
              <w:left w:val="single" w:color="auto" w:sz="4" w:space="0"/>
              <w:bottom w:val="single" w:color="auto" w:sz="4" w:space="0"/>
              <w:right w:val="single" w:color="auto" w:sz="4" w:space="0"/>
            </w:tcBorders>
            <w:noWrap w:val="0"/>
            <w:vAlign w:val="center"/>
          </w:tcPr>
          <w:p w14:paraId="0C5CFCE1">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PM2.5</w:t>
            </w:r>
          </w:p>
        </w:tc>
        <w:tc>
          <w:tcPr>
            <w:tcW w:w="2302" w:type="dxa"/>
            <w:tcBorders>
              <w:top w:val="nil"/>
              <w:left w:val="nil"/>
              <w:bottom w:val="single" w:color="auto" w:sz="4" w:space="0"/>
              <w:right w:val="single" w:color="auto" w:sz="4" w:space="0"/>
            </w:tcBorders>
            <w:noWrap w:val="0"/>
            <w:vAlign w:val="center"/>
          </w:tcPr>
          <w:p w14:paraId="58DAA047">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2302" w:type="dxa"/>
            <w:tcBorders>
              <w:top w:val="nil"/>
              <w:left w:val="nil"/>
              <w:bottom w:val="single" w:color="auto" w:sz="4" w:space="0"/>
              <w:right w:val="single" w:color="auto" w:sz="4" w:space="0"/>
            </w:tcBorders>
            <w:noWrap w:val="0"/>
            <w:vAlign w:val="center"/>
          </w:tcPr>
          <w:p w14:paraId="323A9A4D">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15</w:t>
            </w:r>
          </w:p>
        </w:tc>
      </w:tr>
      <w:tr w14:paraId="0A10A535">
        <w:tblPrEx>
          <w:tblCellMar>
            <w:top w:w="0" w:type="dxa"/>
            <w:left w:w="108" w:type="dxa"/>
            <w:bottom w:w="0" w:type="dxa"/>
            <w:right w:w="108" w:type="dxa"/>
          </w:tblCellMar>
        </w:tblPrEx>
        <w:trPr>
          <w:trHeight w:val="269" w:hRule="atLeast"/>
        </w:trPr>
        <w:tc>
          <w:tcPr>
            <w:tcW w:w="2302" w:type="dxa"/>
            <w:tcBorders>
              <w:top w:val="nil"/>
              <w:left w:val="single" w:color="auto" w:sz="4" w:space="0"/>
              <w:bottom w:val="single" w:color="auto" w:sz="4" w:space="0"/>
              <w:right w:val="single" w:color="auto" w:sz="4" w:space="0"/>
            </w:tcBorders>
            <w:noWrap w:val="0"/>
            <w:vAlign w:val="center"/>
          </w:tcPr>
          <w:p w14:paraId="09EF08AD">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PM10</w:t>
            </w:r>
          </w:p>
        </w:tc>
        <w:tc>
          <w:tcPr>
            <w:tcW w:w="2302" w:type="dxa"/>
            <w:tcBorders>
              <w:top w:val="nil"/>
              <w:left w:val="nil"/>
              <w:bottom w:val="single" w:color="auto" w:sz="4" w:space="0"/>
              <w:right w:val="single" w:color="auto" w:sz="4" w:space="0"/>
            </w:tcBorders>
            <w:noWrap w:val="0"/>
            <w:vAlign w:val="center"/>
          </w:tcPr>
          <w:p w14:paraId="312F0A97">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2302" w:type="dxa"/>
            <w:tcBorders>
              <w:top w:val="nil"/>
              <w:left w:val="nil"/>
              <w:bottom w:val="single" w:color="auto" w:sz="4" w:space="0"/>
              <w:right w:val="single" w:color="auto" w:sz="4" w:space="0"/>
            </w:tcBorders>
            <w:noWrap w:val="0"/>
            <w:vAlign w:val="center"/>
          </w:tcPr>
          <w:p w14:paraId="70EBF1BF">
            <w:pPr>
              <w:widowControl/>
              <w:shd w:val="clear" w:color="auto" w:fill="FFFFFF"/>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15</w:t>
            </w:r>
          </w:p>
        </w:tc>
      </w:tr>
    </w:tbl>
    <w:p w14:paraId="5F463D46">
      <w:pPr>
        <w:widowControl/>
        <w:shd w:val="clear" w:color="auto" w:fill="FFFFFF"/>
        <w:spacing w:line="440" w:lineRule="exact"/>
        <w:ind w:firstLine="480" w:firstLineChars="200"/>
        <w:rPr>
          <w:rFonts w:hint="eastAsia" w:ascii="宋体" w:hAnsi="宋体" w:cs="宋体"/>
          <w:color w:val="000000"/>
          <w:kern w:val="0"/>
          <w:sz w:val="24"/>
        </w:rPr>
      </w:pPr>
      <w:bookmarkStart w:id="14" w:name="_Toc8444"/>
      <w:bookmarkStart w:id="15" w:name="_Toc25546"/>
      <w:bookmarkStart w:id="16" w:name="_Toc29818"/>
      <w:bookmarkStart w:id="17" w:name="_Toc6644"/>
      <w:r>
        <w:rPr>
          <w:rFonts w:hint="eastAsia" w:ascii="宋体" w:hAnsi="宋体" w:cs="宋体"/>
          <w:color w:val="000000"/>
          <w:kern w:val="0"/>
          <w:sz w:val="24"/>
        </w:rPr>
        <w:t>4.4 监测时间及频次</w:t>
      </w:r>
    </w:p>
    <w:p w14:paraId="60357A3F">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为确保监测数据更科学准确，有效监测对比天数不少于15天。</w:t>
      </w:r>
    </w:p>
    <w:p w14:paraId="1261647A">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自动监测采用经环保部认证的及空气质量连续监测系统，结合《环境空气质量标准》（GB 3095-2012）标准要求，检测因子为SO2、NO2、CO、O3、PM10和PM2.5六个参数，检测因子日平均浓度值为一个自然日24小时平均浓度的算术平均值（O3为日最大8小时滑动平均浓度）；SO2、NO2、CO、PM10和PM2.5有效日均值为每日至少有20个小时平均浓度或采样时间</w:t>
      </w:r>
      <w:bookmarkEnd w:id="14"/>
      <w:bookmarkEnd w:id="15"/>
      <w:bookmarkEnd w:id="16"/>
      <w:r>
        <w:rPr>
          <w:rFonts w:hint="eastAsia" w:ascii="宋体" w:hAnsi="宋体" w:cs="宋体"/>
          <w:color w:val="000000"/>
          <w:kern w:val="0"/>
          <w:sz w:val="24"/>
        </w:rPr>
        <w:t>。</w:t>
      </w:r>
    </w:p>
    <w:bookmarkEnd w:id="17"/>
    <w:p w14:paraId="2CE1DE1C">
      <w:pPr>
        <w:widowControl/>
        <w:shd w:val="clear" w:color="auto" w:fill="FFFFFF"/>
        <w:spacing w:line="440" w:lineRule="exact"/>
        <w:ind w:firstLine="480" w:firstLineChars="200"/>
        <w:rPr>
          <w:rFonts w:hint="eastAsia" w:ascii="宋体" w:hAnsi="宋体" w:cs="宋体"/>
          <w:color w:val="000000"/>
          <w:kern w:val="0"/>
          <w:sz w:val="24"/>
        </w:rPr>
      </w:pPr>
      <w:bookmarkStart w:id="18" w:name="_Toc24731"/>
      <w:bookmarkStart w:id="19" w:name="_Toc10291"/>
      <w:r>
        <w:rPr>
          <w:rFonts w:hint="eastAsia" w:ascii="宋体" w:hAnsi="宋体" w:cs="宋体"/>
          <w:color w:val="000000"/>
          <w:kern w:val="0"/>
          <w:sz w:val="24"/>
        </w:rPr>
        <w:t>（五）服务成果</w:t>
      </w:r>
      <w:bookmarkEnd w:id="18"/>
      <w:bookmarkEnd w:id="19"/>
    </w:p>
    <w:p w14:paraId="6ECC4D80">
      <w:pPr>
        <w:widowControl/>
        <w:shd w:val="clear" w:color="auto" w:fill="FFFFFF"/>
        <w:spacing w:line="440" w:lineRule="exact"/>
        <w:ind w:firstLine="480" w:firstLineChars="200"/>
        <w:rPr>
          <w:rFonts w:hint="eastAsia" w:ascii="宋体" w:hAnsi="宋体" w:cs="宋体"/>
          <w:color w:val="000000"/>
          <w:kern w:val="0"/>
          <w:sz w:val="24"/>
        </w:rPr>
      </w:pPr>
      <w:bookmarkStart w:id="20" w:name="_Toc15995_WPSOffice_Level2"/>
      <w:bookmarkStart w:id="21" w:name="_Toc525"/>
      <w:bookmarkStart w:id="22" w:name="_Toc24502"/>
      <w:bookmarkStart w:id="23" w:name="_Toc24746"/>
      <w:bookmarkStart w:id="24" w:name="_Toc2212"/>
      <w:bookmarkStart w:id="25" w:name="_Toc10982"/>
      <w:bookmarkStart w:id="26" w:name="_Toc25038"/>
      <w:bookmarkStart w:id="27" w:name="_Toc28997_WPSOffice_Level2"/>
      <w:bookmarkStart w:id="28" w:name="_Toc29908"/>
      <w:r>
        <w:rPr>
          <w:rFonts w:hint="eastAsia" w:ascii="宋体" w:hAnsi="宋体" w:cs="宋体"/>
          <w:color w:val="000000"/>
          <w:kern w:val="0"/>
          <w:sz w:val="24"/>
        </w:rPr>
        <w:t>《检测数据分析报告</w:t>
      </w:r>
      <w:bookmarkEnd w:id="20"/>
      <w:bookmarkEnd w:id="21"/>
      <w:bookmarkEnd w:id="22"/>
      <w:bookmarkEnd w:id="23"/>
      <w:bookmarkEnd w:id="24"/>
      <w:bookmarkEnd w:id="25"/>
      <w:bookmarkEnd w:id="26"/>
      <w:bookmarkEnd w:id="27"/>
      <w:bookmarkEnd w:id="28"/>
      <w:r>
        <w:rPr>
          <w:rFonts w:hint="eastAsia" w:ascii="宋体" w:hAnsi="宋体" w:cs="宋体"/>
          <w:color w:val="000000"/>
          <w:kern w:val="0"/>
          <w:sz w:val="24"/>
        </w:rPr>
        <w:t>》纸质版及电子版。</w:t>
      </w:r>
    </w:p>
    <w:p w14:paraId="66C29A8F">
      <w:pPr>
        <w:widowControl/>
        <w:shd w:val="clear" w:color="auto" w:fill="FFFFFF"/>
        <w:spacing w:line="440" w:lineRule="exact"/>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二、采购需求：</w:t>
      </w:r>
    </w:p>
    <w:p w14:paraId="4B7D0489">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1、符合《中华人民共和国政府采购法》第二十二条规定和《中华人民共和国政府采购法实施条例》第十七条规定的的条件，并提供相关材料；</w:t>
      </w:r>
    </w:p>
    <w:p w14:paraId="56EC4BE3">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2、竞价投标人与采购人、及其附属机构没有行政或经济关联。</w:t>
      </w:r>
    </w:p>
    <w:p w14:paraId="4B50A002">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3、本项目不接受联合体投标,不准分包或转包。</w:t>
      </w:r>
    </w:p>
    <w:p w14:paraId="3A483E63">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根据财库[2016]125号）的规定，凡列入失信被执行人、重大税收违法案件当事人名单、政府采购严重违法失信行为记录名单及其他不符合《中华人民共和国政府采购法》第二十二条规定条件潜在投标人禁止投标（信用记录查询渠道：“信用中国”和“中国政府采购网”网站）。</w:t>
      </w:r>
    </w:p>
    <w:p w14:paraId="4F6C6240">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竞价投标人在竞价结束前联系采购人（联系人：白先生13507663888）进行现场踏勘此项目，并拟定方案；提交上述纸质原件材料，现场审核，经审核上述纸质原件和方案符合采购人要求后，方可参与竞价，否则视为未通过资格审核竞价无效。不具备资质参加与竞标或报价明显低于成本的供应商视为恶意竞争，采购人有权予以废标并重新开展竞价活动，同时将上报政府采购监督部门并追究相关责任予以处罚。</w:t>
      </w:r>
    </w:p>
    <w:p w14:paraId="3D5A70A2">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6、成交供应商应自觉接受职能部门的监督、考核,对职能部门提出的意见或建议,应及时对</w:t>
      </w:r>
      <w:r>
        <w:rPr>
          <w:rFonts w:hint="eastAsia" w:ascii="宋体" w:hAnsi="宋体" w:cs="宋体"/>
          <w:color w:val="000000"/>
          <w:kern w:val="0"/>
          <w:sz w:val="24"/>
          <w:lang w:val="en-US" w:eastAsia="zh-CN"/>
        </w:rPr>
        <w:t>此项目工作内容</w:t>
      </w:r>
      <w:r>
        <w:rPr>
          <w:rFonts w:hint="eastAsia" w:ascii="宋体" w:hAnsi="宋体" w:cs="宋体"/>
          <w:color w:val="000000"/>
          <w:kern w:val="0"/>
          <w:sz w:val="24"/>
        </w:rPr>
        <w:t>进行整改和完善。</w:t>
      </w:r>
    </w:p>
    <w:p w14:paraId="6377B3BE">
      <w:pPr>
        <w:widowControl/>
        <w:shd w:val="clear" w:color="auto" w:fill="FFFFFF"/>
        <w:spacing w:line="440" w:lineRule="exact"/>
        <w:ind w:firstLine="482" w:firstLineChars="200"/>
        <w:rPr>
          <w:rFonts w:hint="eastAsia" w:ascii="宋体" w:hAnsi="宋体" w:cs="宋体"/>
          <w:color w:val="000000"/>
          <w:kern w:val="0"/>
          <w:sz w:val="24"/>
        </w:rPr>
      </w:pPr>
      <w:r>
        <w:rPr>
          <w:rFonts w:hint="eastAsia" w:ascii="宋体" w:hAnsi="宋体" w:cs="宋体"/>
          <w:b/>
          <w:bCs/>
          <w:color w:val="000000"/>
          <w:kern w:val="0"/>
          <w:sz w:val="24"/>
          <w:lang w:val="en-US" w:eastAsia="zh-CN"/>
        </w:rPr>
        <w:t>三、</w:t>
      </w:r>
      <w:r>
        <w:rPr>
          <w:rFonts w:hint="eastAsia" w:ascii="宋体" w:hAnsi="宋体" w:cs="宋体"/>
          <w:b/>
          <w:bCs/>
          <w:color w:val="000000"/>
          <w:kern w:val="0"/>
          <w:sz w:val="24"/>
        </w:rPr>
        <w:t>其他要求：</w:t>
      </w:r>
    </w:p>
    <w:p w14:paraId="7DBAC386">
      <w:pPr>
        <w:widowControl/>
        <w:shd w:val="clear" w:color="auto" w:fill="FFFFFF"/>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成交供应商应在保证服务期和服务质量的前提下为采购人提供服务，服务中的一切风险（包括人员安全事故责任、与第三方的劳务纠纷、项目实施过程中的劳务纠纷及人员伤害等）均由成交供应商独自承担责任。</w:t>
      </w:r>
      <w:bookmarkStart w:id="29" w:name="_GoBack"/>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YzRhMDRjMjEzMjg1ZDYzZmJjMDA4NmEzNWE1N2MifQ=="/>
  </w:docVars>
  <w:rsids>
    <w:rsidRoot w:val="062F34D9"/>
    <w:rsid w:val="062F34D9"/>
    <w:rsid w:val="398E55A1"/>
    <w:rsid w:val="45B91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ind w:firstLine="528" w:firstLineChars="200"/>
    </w:pPr>
    <w:rPr>
      <w:rFonts w:hAnsi="Times New Roman" w:cs="Times New Roman"/>
      <w:spacing w:val="2"/>
      <w:kern w:val="2"/>
      <w:sz w:val="28"/>
    </w:rPr>
  </w:style>
  <w:style w:type="paragraph" w:customStyle="1" w:styleId="5">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1655</Words>
  <Characters>1814</Characters>
  <Lines>0</Lines>
  <Paragraphs>0</Paragraphs>
  <TotalTime>11</TotalTime>
  <ScaleCrop>false</ScaleCrop>
  <LinksUpToDate>false</LinksUpToDate>
  <CharactersWithSpaces>1823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2024-11-05T09:14:00Z</dcterms:created>
  <dc:creator>文建</dc:creator>
  <cp:lastModifiedBy>文建</cp:lastModifiedBy>
  <dcterms:modified xsi:type="dcterms:W3CDTF">2024-11-05T10:05:23Z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9748739FA2444D13BAD224075234C1E2_11</vt:lpwstr>
  </property>
</Properties>
</file>